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F9D3" w14:textId="77777777" w:rsidR="00746060" w:rsidRPr="00DB31AD" w:rsidRDefault="00746060" w:rsidP="0074606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0" w:name="_Hlk214625797"/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0FE6C15D" w14:textId="77777777" w:rsidR="00746060" w:rsidRDefault="00746060" w:rsidP="0074606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294C6FF" w14:textId="77777777" w:rsidR="00746060" w:rsidRPr="00DB31AD" w:rsidRDefault="00746060" w:rsidP="0074606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0A2DD65" w14:textId="77777777" w:rsidR="00746060" w:rsidRPr="00DB31AD" w:rsidRDefault="00746060" w:rsidP="0074606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3144917" w14:textId="77777777" w:rsidR="00746060" w:rsidRPr="00B92C57" w:rsidRDefault="00746060" w:rsidP="0074606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7C44CDF8" w14:textId="77777777" w:rsidR="00746060" w:rsidRPr="00284577" w:rsidRDefault="00746060" w:rsidP="00746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69EA265" w14:textId="77777777" w:rsidR="00746060" w:rsidRDefault="00746060" w:rsidP="0074606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>
        <w:rPr>
          <w:rFonts w:ascii="Arial" w:eastAsia="Calibri" w:hAnsi="Arial" w:cs="Arial"/>
          <w:i/>
          <w:iCs/>
        </w:rPr>
        <w:t>r.</w:t>
      </w:r>
      <w:r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>o zapewnieniu dostępności osobom ze szczególnymi potrzebami. W indywidualnym przypadku, jeśli organizacja nie jest w stanie, w szczególności ze względów technicznych lub prawnych, zapewnić dostępności osobie ze szczególnymi potrzebami w zakresie, o którym mowa</w:t>
      </w:r>
      <w:r>
        <w:rPr>
          <w:rFonts w:ascii="Arial" w:eastAsia="Calibri" w:hAnsi="Arial" w:cs="Arial"/>
          <w:i/>
          <w:iCs/>
        </w:rPr>
        <w:t xml:space="preserve"> w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3EC8EDE9" w14:textId="77777777" w:rsidR="00746060" w:rsidRPr="003C27A0" w:rsidRDefault="00746060" w:rsidP="0074606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3D5BC8CE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0533536B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1D13D56A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1CEEF710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688D318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1A16EEA0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7CCD3EB9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68EC2DCD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47A5EF35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43D6A702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CD1E101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AB19EB5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4B225A3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FEB253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7AFF0B16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25594B0C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6DA0CF2B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D388D38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D8E8D11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0C671FC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80F9BDA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19DAC2BB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86D2CD0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0F5D203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2A90917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9CE728D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700D51BB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A0560DA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17704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751FBCE6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</w:t>
      </w:r>
      <w:r>
        <w:rPr>
          <w:rFonts w:ascii="Arial" w:hAnsi="Arial" w:cs="Arial"/>
          <w:i/>
          <w:iCs/>
          <w:color w:val="000000" w:themeColor="text1"/>
          <w:lang w:eastAsia="pl-PL"/>
        </w:rPr>
        <w:t xml:space="preserve"> w tym obszarze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5D9ECBB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2FF96D84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EEB327A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6FFC3DC5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3ADAAB66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71EE3334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A2F5936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657E4841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38A6C51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0E32D1C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564688C0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6AF91812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11D6113" w14:textId="77777777" w:rsidR="00746060" w:rsidRPr="003C27A0" w:rsidRDefault="00746060" w:rsidP="0074606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0"/>
    </w:p>
    <w:p w14:paraId="176050F6" w14:textId="77777777" w:rsidR="00F019A3" w:rsidRDefault="00F019A3"/>
    <w:sectPr w:rsidR="00F019A3" w:rsidSect="007460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60"/>
    <w:rsid w:val="001462B8"/>
    <w:rsid w:val="001818F6"/>
    <w:rsid w:val="00221313"/>
    <w:rsid w:val="00746060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4A00"/>
  <w15:chartTrackingRefBased/>
  <w15:docId w15:val="{213EA58B-B69B-4703-8FB9-8D8178E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060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2025-12-12T08:03:00Z</dcterms:created>
  <dcterms:modified xsi:type="dcterms:W3CDTF">2025-12-12T08:04:00Z</dcterms:modified>
</cp:coreProperties>
</file>