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B7FF6" w14:textId="77777777" w:rsidR="00F27749" w:rsidRPr="00F27749" w:rsidRDefault="00F27749" w:rsidP="00F27749">
      <w:pPr>
        <w:pStyle w:val="Nagwek4"/>
        <w:rPr>
          <w:snapToGrid w:val="0"/>
          <w:lang w:val="pl-PL"/>
        </w:rPr>
      </w:pPr>
    </w:p>
    <w:p w14:paraId="3308DEDA" w14:textId="77777777" w:rsidR="00F27749" w:rsidRDefault="00F27749" w:rsidP="00F27749">
      <w:pPr>
        <w:jc w:val="right"/>
      </w:pPr>
      <w:r>
        <w:t>Załącznik nr 1 do umowy nr…………………..</w:t>
      </w:r>
    </w:p>
    <w:p w14:paraId="765A2CE8" w14:textId="77777777" w:rsidR="00F27749" w:rsidRDefault="00F27749" w:rsidP="00F27749">
      <w:pPr>
        <w:jc w:val="right"/>
      </w:pPr>
    </w:p>
    <w:p w14:paraId="7C79A6B4" w14:textId="77777777" w:rsidR="00F27749" w:rsidRPr="00F27749" w:rsidRDefault="00F27749" w:rsidP="00F27749">
      <w:pPr>
        <w:jc w:val="center"/>
      </w:pPr>
      <w:r>
        <w:t>WYMAGANIA SZCZEGÓŁOWE DLA URZĄDZEŃ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13"/>
        <w:gridCol w:w="7349"/>
      </w:tblGrid>
      <w:tr w:rsidR="003F2A58" w:rsidRPr="00F01628" w14:paraId="331DAB18" w14:textId="77777777" w:rsidTr="003F2A58">
        <w:trPr>
          <w:trHeight w:hRule="exact" w:val="907"/>
          <w:tblHeader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1FD5348" w14:textId="77777777" w:rsidR="003F2A58" w:rsidRPr="00F01628" w:rsidRDefault="003F2A58" w:rsidP="00F01628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 w:rsidRPr="00F01628">
              <w:rPr>
                <w:b/>
                <w:bCs w:val="0"/>
                <w:color w:val="auto"/>
                <w:szCs w:val="24"/>
              </w:rPr>
              <w:t>Opis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E70CFCA" w14:textId="77777777" w:rsidR="003F2A58" w:rsidRPr="00F01628" w:rsidRDefault="003F2A58" w:rsidP="00F01628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  <w:r w:rsidRPr="00F01628">
              <w:rPr>
                <w:b/>
                <w:bCs w:val="0"/>
                <w:color w:val="auto"/>
                <w:szCs w:val="24"/>
              </w:rPr>
              <w:t>Wymagania minimalne</w:t>
            </w:r>
          </w:p>
          <w:p w14:paraId="58E06208" w14:textId="77777777" w:rsidR="003F2A58" w:rsidRPr="00F01628" w:rsidRDefault="003F2A58" w:rsidP="00F01628">
            <w:pPr>
              <w:keepNext/>
              <w:jc w:val="center"/>
              <w:rPr>
                <w:b/>
                <w:bCs w:val="0"/>
                <w:color w:val="auto"/>
                <w:szCs w:val="24"/>
              </w:rPr>
            </w:pPr>
          </w:p>
        </w:tc>
      </w:tr>
      <w:tr w:rsidR="00791098" w:rsidRPr="00F01628" w14:paraId="7BAC797E" w14:textId="77777777" w:rsidTr="00BD7552">
        <w:trPr>
          <w:trHeight w:hRule="exact"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14397790" w14:textId="77777777" w:rsidR="00791098" w:rsidRPr="00F01628" w:rsidRDefault="00791098" w:rsidP="00BD7552">
            <w:pPr>
              <w:keepNext/>
              <w:jc w:val="left"/>
              <w:rPr>
                <w:b/>
                <w:i/>
                <w:color w:val="auto"/>
                <w:szCs w:val="24"/>
              </w:rPr>
            </w:pPr>
            <w:r w:rsidRPr="00F01628">
              <w:rPr>
                <w:b/>
                <w:i/>
                <w:color w:val="auto"/>
                <w:szCs w:val="24"/>
              </w:rPr>
              <w:t>Analizator do ciągłego, automatycznego pomiaru stężeń pyłu zawieszonego PM10/PM2.5</w:t>
            </w:r>
          </w:p>
        </w:tc>
      </w:tr>
      <w:tr w:rsidR="003F2A58" w:rsidRPr="00F01628" w14:paraId="55AEDDA3" w14:textId="77777777" w:rsidTr="003F2A58">
        <w:tc>
          <w:tcPr>
            <w:tcW w:w="945" w:type="pct"/>
            <w:tcMar>
              <w:top w:w="113" w:type="dxa"/>
              <w:bottom w:w="113" w:type="dxa"/>
            </w:tcMar>
          </w:tcPr>
          <w:p w14:paraId="22BDE118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Ogólne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971152E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  <w:p w14:paraId="32468025" w14:textId="77777777" w:rsidR="003F2A58" w:rsidRPr="00F01628" w:rsidRDefault="003F2A58" w:rsidP="0079109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Fabrycznie nowy z produkcji seryjnej, rok produkcji nie wcześniej niż 202</w:t>
            </w:r>
            <w:r>
              <w:rPr>
                <w:bCs w:val="0"/>
                <w:color w:val="auto"/>
                <w:szCs w:val="24"/>
              </w:rPr>
              <w:t>1</w:t>
            </w:r>
          </w:p>
        </w:tc>
      </w:tr>
      <w:tr w:rsidR="003F2A58" w:rsidRPr="00F01628" w14:paraId="1DCB4E28" w14:textId="77777777" w:rsidTr="003F2A58">
        <w:trPr>
          <w:trHeight w:val="195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0799A05" w14:textId="77777777" w:rsidR="003F2A5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Metoda pomiaru</w:t>
            </w:r>
          </w:p>
          <w:p w14:paraId="4416898F" w14:textId="77777777" w:rsidR="003F2A5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  <w:p w14:paraId="2FA80153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B47A6D7" w14:textId="77777777" w:rsidR="003F2A5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Automatyczny pomiar stężenia pyłu zawieszonego PM10</w:t>
            </w:r>
            <w:r>
              <w:rPr>
                <w:bCs w:val="0"/>
                <w:color w:val="auto"/>
                <w:szCs w:val="24"/>
              </w:rPr>
              <w:t xml:space="preserve"> i </w:t>
            </w:r>
            <w:r w:rsidRPr="00F01628">
              <w:rPr>
                <w:bCs w:val="0"/>
                <w:color w:val="auto"/>
                <w:szCs w:val="24"/>
              </w:rPr>
              <w:t>PM2.5 w oparciu o bazowe średnie 30-minutowe lub 60-minutowe</w:t>
            </w:r>
            <w:r>
              <w:rPr>
                <w:bCs w:val="0"/>
                <w:color w:val="auto"/>
                <w:szCs w:val="24"/>
              </w:rPr>
              <w:t>.</w:t>
            </w:r>
          </w:p>
          <w:p w14:paraId="66D87034" w14:textId="3677724E" w:rsidR="003F2A58" w:rsidRPr="00CC40C5" w:rsidRDefault="003F2A58" w:rsidP="006361C1">
            <w:pPr>
              <w:jc w:val="left"/>
              <w:rPr>
                <w:b/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Z</w:t>
            </w:r>
            <w:r w:rsidRPr="00247AAC">
              <w:rPr>
                <w:bCs w:val="0"/>
                <w:color w:val="auto"/>
                <w:szCs w:val="24"/>
              </w:rPr>
              <w:t xml:space="preserve">dolność jednoczesnego pomiaru przez urządzenie pyłu PM10 i PM2,5 (wymagany udział ważnych danych 75% dla wartości 1 godz. - zgodnie z Rozporządzeniem </w:t>
            </w:r>
            <w:r w:rsidRPr="00350FEF">
              <w:rPr>
                <w:bCs w:val="0"/>
                <w:color w:val="auto"/>
                <w:szCs w:val="24"/>
              </w:rPr>
              <w:t>Ministra Klimatu i Środowiska z dnia 17 grudnia 2020 r. w sprawie dokonywania oceny poziomów substancji w powietrzu (Dz. U. 2020 poz. 2279)</w:t>
            </w:r>
            <w:bookmarkStart w:id="0" w:name="_GoBack"/>
            <w:bookmarkEnd w:id="0"/>
          </w:p>
          <w:p w14:paraId="18555C86" w14:textId="77777777" w:rsidR="003F2A58" w:rsidRPr="00F01628" w:rsidRDefault="003F2A58" w:rsidP="00247AAC">
            <w:pPr>
              <w:jc w:val="left"/>
              <w:rPr>
                <w:bCs w:val="0"/>
                <w:color w:val="auto"/>
                <w:szCs w:val="24"/>
              </w:rPr>
            </w:pPr>
          </w:p>
        </w:tc>
      </w:tr>
      <w:tr w:rsidR="003F2A58" w:rsidRPr="00F01628" w14:paraId="79C04426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B822754" w14:textId="79A739A6" w:rsidR="003F2A58" w:rsidRPr="00F01628" w:rsidRDefault="00807007" w:rsidP="00F01628">
            <w:pPr>
              <w:jc w:val="left"/>
              <w:rPr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Badania i raporty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B2B9056" w14:textId="77777777"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Raport z badań (w języku polskim</w:t>
            </w:r>
            <w:r w:rsidR="00845A94">
              <w:rPr>
                <w:bCs w:val="0"/>
                <w:color w:val="auto"/>
                <w:szCs w:val="24"/>
              </w:rPr>
              <w:t xml:space="preserve">) </w:t>
            </w:r>
            <w:r w:rsidRPr="007C45A2">
              <w:rPr>
                <w:bCs w:val="0"/>
                <w:color w:val="auto"/>
                <w:szCs w:val="24"/>
              </w:rPr>
              <w:t>potwierdzający równoważność pomiarów analizatora wraz z głowicą separacyjną /układem separującym (w zależności co występuje), w dostarczanej konfiguracji, z metodą referencyjną określoną w Dyrektywie Komisji (UE) 2015/1480 z dnia 28 sierpnia 2015 r. zmieniającej niektóre załączniki do dyrektyw Parlamentu Europejskiego i Rady 2004/107/WE i 2008/50/WE ustanawiające przepisy dotyczące metod referencyjnych, zatwierdzania danych i lokalizacji punktów pomiarowych do oceny jakości powietrza:</w:t>
            </w:r>
          </w:p>
          <w:p w14:paraId="014D36BF" w14:textId="1F5B99B5"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>Badania i raport wykonane przez laboratorium akredytowane, tzn. posiadające, w momencie wykonywania badania, akredytację w zakresie przeprowadzanych badań;</w:t>
            </w:r>
          </w:p>
          <w:p w14:paraId="0A39E879" w14:textId="78E2AC62" w:rsidR="00845A94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 xml:space="preserve">Metodyka postępowania przy potwierdzaniu równoważności zgodna z normą EN 16450:2017 lub równoważną (przy zastosowaniu metodyki równoważnej do opisanej w normie Wykonawca dostarczy raport z badań, wykonany przez laboratorium akredytowane, tzn. posiadające, w momencie wykonywania badania, akredytację na normę </w:t>
            </w:r>
            <w:r w:rsidR="00807007">
              <w:rPr>
                <w:bCs w:val="0"/>
                <w:color w:val="auto"/>
                <w:szCs w:val="24"/>
              </w:rPr>
              <w:t xml:space="preserve">w </w:t>
            </w:r>
            <w:r w:rsidRPr="007C45A2">
              <w:rPr>
                <w:bCs w:val="0"/>
                <w:color w:val="auto"/>
                <w:szCs w:val="24"/>
              </w:rPr>
              <w:t xml:space="preserve">zakresie przeprowadzanych badań, który potwierdzi, iż zastosowana w oferowanym urządzeniu metoda pomiarowa jest w pełni równoważna z metodą referencyjną określoną w Dyrektywie Komisji (UE) 2015/1480 z dnia 28 sierpnia 2015 r. zmieniającej niektóre załączniki do dyrektyw Parlamentu Europejskiego i Rady 2004/107/WE i 2008/50/WE ustanawiające przepisy dotyczące metod referencyjnych, zatwierdzania danych i lokalizacji punktów pomiarowych do oceny jakości powietrza, z zastrzeżeniem, iż metodyka ta musi spełniać wszystkie kryteria, które opisane zostały w przywołanej normie – </w:t>
            </w:r>
            <w:r w:rsidRPr="00792A1D">
              <w:rPr>
                <w:b/>
                <w:bCs w:val="0"/>
                <w:color w:val="auto"/>
                <w:szCs w:val="24"/>
              </w:rPr>
              <w:t>urządzenie powinno przejść testy zarówno polowe jak i laboratoryjne</w:t>
            </w:r>
            <w:r w:rsidRPr="007C45A2">
              <w:rPr>
                <w:bCs w:val="0"/>
                <w:color w:val="auto"/>
                <w:szCs w:val="24"/>
              </w:rPr>
              <w:t>.</w:t>
            </w:r>
          </w:p>
          <w:p w14:paraId="6A982E71" w14:textId="77777777"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lastRenderedPageBreak/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>Raport musi bazować na wynikach stężeń pyłu z automatycznego analizatora ustawionego w tryb pracy ciągłej 30 minutowej lub 60 minutowej (średnie bazowe 30–minutowe lub 60-minutowe, uśredniane następnie do średniej dobowej);</w:t>
            </w:r>
          </w:p>
          <w:p w14:paraId="6B3A8B23" w14:textId="77777777" w:rsidR="003F2A58" w:rsidRPr="007C45A2" w:rsidRDefault="003F2A58" w:rsidP="007C45A2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>Pomiary/badania, na których bazuje raport, w co najmniej 50% przeprowadzone w kraju (krajach) Europejskich, w których występują warunki zbliżone do Polskich (np. klimat, rodzaj pyłu – Polska, Słowacja, Czechy, Austria, Niemcy);</w:t>
            </w:r>
          </w:p>
          <w:p w14:paraId="3FF8BD65" w14:textId="6D00BF56" w:rsidR="00845A94" w:rsidRDefault="003F2A58" w:rsidP="00845A94">
            <w:pPr>
              <w:rPr>
                <w:bCs w:val="0"/>
                <w:color w:val="auto"/>
                <w:szCs w:val="24"/>
              </w:rPr>
            </w:pPr>
            <w:r w:rsidRPr="007C45A2">
              <w:rPr>
                <w:bCs w:val="0"/>
                <w:color w:val="auto"/>
                <w:szCs w:val="24"/>
              </w:rPr>
              <w:t>-</w:t>
            </w:r>
            <w:r>
              <w:rPr>
                <w:bCs w:val="0"/>
                <w:color w:val="auto"/>
                <w:szCs w:val="24"/>
              </w:rPr>
              <w:t> </w:t>
            </w:r>
            <w:r w:rsidRPr="007C45A2">
              <w:rPr>
                <w:bCs w:val="0"/>
                <w:color w:val="auto"/>
                <w:szCs w:val="24"/>
              </w:rPr>
              <w:t xml:space="preserve"> </w:t>
            </w:r>
            <w:r w:rsidR="00807007">
              <w:rPr>
                <w:bCs w:val="0"/>
                <w:color w:val="auto"/>
                <w:szCs w:val="24"/>
              </w:rPr>
              <w:t>R</w:t>
            </w:r>
            <w:r w:rsidRPr="007C45A2">
              <w:rPr>
                <w:bCs w:val="0"/>
                <w:color w:val="auto"/>
                <w:szCs w:val="24"/>
              </w:rPr>
              <w:t xml:space="preserve">aport do oferowanego urządzenia </w:t>
            </w:r>
            <w:r w:rsidR="00807007">
              <w:rPr>
                <w:bCs w:val="0"/>
                <w:color w:val="auto"/>
                <w:szCs w:val="24"/>
              </w:rPr>
              <w:t>należy przedstawić</w:t>
            </w:r>
            <w:r w:rsidR="00807007" w:rsidRPr="007C45A2">
              <w:rPr>
                <w:bCs w:val="0"/>
                <w:color w:val="auto"/>
                <w:szCs w:val="24"/>
              </w:rPr>
              <w:t xml:space="preserve"> </w:t>
            </w:r>
            <w:r w:rsidRPr="007C45A2">
              <w:rPr>
                <w:bCs w:val="0"/>
                <w:color w:val="auto"/>
                <w:szCs w:val="24"/>
              </w:rPr>
              <w:t xml:space="preserve">w formie cyfrowej, zarówno dla pyłu PM10 jak i PM2.5, w języku polskim; </w:t>
            </w:r>
          </w:p>
          <w:p w14:paraId="448692F3" w14:textId="77777777" w:rsidR="00845A94" w:rsidRPr="000802BA" w:rsidRDefault="00845A94" w:rsidP="00845A94">
            <w:pPr>
              <w:rPr>
                <w:bCs w:val="0"/>
                <w:color w:val="auto"/>
                <w:szCs w:val="24"/>
              </w:rPr>
            </w:pPr>
            <w:r w:rsidRPr="00845A94">
              <w:rPr>
                <w:bCs w:val="0"/>
                <w:color w:val="auto"/>
                <w:szCs w:val="24"/>
              </w:rPr>
              <w:t xml:space="preserve">W przypadku przedstawienia </w:t>
            </w:r>
            <w:r>
              <w:rPr>
                <w:bCs w:val="0"/>
                <w:color w:val="auto"/>
                <w:szCs w:val="24"/>
              </w:rPr>
              <w:t xml:space="preserve">ww. </w:t>
            </w:r>
            <w:r w:rsidRPr="00845A94">
              <w:rPr>
                <w:bCs w:val="0"/>
                <w:color w:val="auto"/>
                <w:szCs w:val="24"/>
              </w:rPr>
              <w:t>dokumentów w języku innym niż polski Wykonawca przedstawi również obok dokumentu oryginalnego tłumaczenie na język polski,</w:t>
            </w:r>
          </w:p>
        </w:tc>
      </w:tr>
      <w:tr w:rsidR="00247AAC" w:rsidRPr="00F01628" w14:paraId="080D6718" w14:textId="77777777" w:rsidTr="00247AAC">
        <w:trPr>
          <w:trHeight w:val="285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00357C5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7B4B050B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Programowalny, co najmniej od 0 do 1000 µg/m</w:t>
            </w:r>
            <w:r w:rsidRPr="00F01628">
              <w:rPr>
                <w:bCs w:val="0"/>
                <w:color w:val="auto"/>
                <w:szCs w:val="24"/>
                <w:vertAlign w:val="superscript"/>
              </w:rPr>
              <w:t>3</w:t>
            </w:r>
          </w:p>
        </w:tc>
      </w:tr>
      <w:tr w:rsidR="00247AAC" w:rsidRPr="00F01628" w14:paraId="4816E3B9" w14:textId="77777777" w:rsidTr="00247AAC">
        <w:trPr>
          <w:trHeight w:val="27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538AD02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Podstawowe cechy urządzenia / funkcjonalność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A51DC6C" w14:textId="77777777" w:rsidR="00247AAC" w:rsidRPr="00F01628" w:rsidRDefault="00247AAC" w:rsidP="00F01628">
            <w:pPr>
              <w:numPr>
                <w:ilvl w:val="0"/>
                <w:numId w:val="13"/>
              </w:numPr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Wymiary: umożliwiające instalację w standardowym stojaku 19” (szerokość i głębokość);</w:t>
            </w:r>
          </w:p>
          <w:p w14:paraId="61820C00" w14:textId="77777777"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Zasilanie: 230 V / 50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Hz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;</w:t>
            </w:r>
          </w:p>
          <w:p w14:paraId="55134400" w14:textId="77777777"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Zasilanie: po przerwie w zasilaniu analizator powinien włączyć się automatycznie i kontynuować pomiar;</w:t>
            </w:r>
          </w:p>
          <w:p w14:paraId="5F249255" w14:textId="77777777" w:rsidR="00247AAC" w:rsidRPr="00F01628" w:rsidRDefault="00247AAC" w:rsidP="00F01628">
            <w:pPr>
              <w:numPr>
                <w:ilvl w:val="0"/>
                <w:numId w:val="13"/>
              </w:numPr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Temperatura pracy: przynajmniej w granicach od +15 do +30 °C;</w:t>
            </w:r>
          </w:p>
          <w:p w14:paraId="190EBB05" w14:textId="77777777"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Temperatura dla próbkowanego powietrza: przynajmniej w granicach</w:t>
            </w:r>
            <w:r w:rsidRPr="00F01628">
              <w:rPr>
                <w:bCs w:val="0"/>
                <w:color w:val="auto"/>
                <w:szCs w:val="24"/>
              </w:rPr>
              <w:br/>
              <w:t>od -30 do +40°C;</w:t>
            </w:r>
          </w:p>
          <w:p w14:paraId="6529771F" w14:textId="77777777"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2" w:hanging="35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Wilgotność względna pracy: przynajmniej w granicach od 20 do 90%;</w:t>
            </w:r>
          </w:p>
          <w:p w14:paraId="02CBC4F8" w14:textId="77777777" w:rsidR="00247AAC" w:rsidRPr="00F01628" w:rsidRDefault="00247AAC" w:rsidP="00F0162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2" w:hanging="357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Cykl pomiarowy umożliwiający przygotowanie średniej bazowej nie dłuższej niż 1-godzinnej;</w:t>
            </w:r>
          </w:p>
          <w:p w14:paraId="5E50165D" w14:textId="77777777" w:rsidR="00247AAC" w:rsidRPr="00F01628" w:rsidRDefault="00247AAC" w:rsidP="00F01628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Granica oznaczalności nie wyższa niż 2 µg/m3 przy czasie uśredniania 1 doby;</w:t>
            </w:r>
          </w:p>
          <w:p w14:paraId="4176D770" w14:textId="77777777" w:rsidR="00247AAC" w:rsidRPr="00F01628" w:rsidRDefault="00247AAC" w:rsidP="00631AE1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Granica oznaczalności nie wyższa niż 5 µg/m3 przy czasie uśredniania 1 godzina;</w:t>
            </w:r>
          </w:p>
          <w:p w14:paraId="0733B284" w14:textId="77777777" w:rsidR="00845A94" w:rsidRPr="00845A94" w:rsidRDefault="00247AAC" w:rsidP="00845A94">
            <w:pPr>
              <w:pStyle w:val="Akapitzlist"/>
              <w:numPr>
                <w:ilvl w:val="0"/>
                <w:numId w:val="13"/>
              </w:numPr>
              <w:ind w:left="337" w:hanging="284"/>
              <w:rPr>
                <w:bCs w:val="0"/>
                <w:color w:val="auto"/>
                <w:szCs w:val="24"/>
              </w:rPr>
            </w:pPr>
            <w:r w:rsidRPr="00845A94">
              <w:rPr>
                <w:bCs w:val="0"/>
                <w:color w:val="auto"/>
                <w:szCs w:val="24"/>
              </w:rPr>
              <w:t>Fabryczne świadectwo wzorcowania urządzenia – w formie papierowej w języku polskim</w:t>
            </w:r>
            <w:r w:rsidR="00845A94" w:rsidRPr="00845A94">
              <w:rPr>
                <w:bCs w:val="0"/>
                <w:color w:val="auto"/>
                <w:szCs w:val="24"/>
              </w:rPr>
              <w:t xml:space="preserve"> </w:t>
            </w:r>
            <w:r w:rsidRPr="00845A94">
              <w:rPr>
                <w:bCs w:val="0"/>
                <w:color w:val="auto"/>
                <w:szCs w:val="24"/>
              </w:rPr>
              <w:t>– dostarczone w momencie instalacji;</w:t>
            </w:r>
            <w:r w:rsidR="00845A94">
              <w:t xml:space="preserve"> </w:t>
            </w:r>
            <w:r w:rsidR="00845A94" w:rsidRPr="00845A94">
              <w:rPr>
                <w:bCs w:val="0"/>
                <w:color w:val="auto"/>
                <w:szCs w:val="24"/>
              </w:rPr>
              <w:t>W przypadku przedstawienia dokumentów w języku innym niż polski Wykonawca przedstawi również obok dokumentu oryginalnego tłumaczenie na język polski,</w:t>
            </w:r>
          </w:p>
          <w:p w14:paraId="655428B9" w14:textId="77777777" w:rsidR="00845A94" w:rsidRPr="00845A94" w:rsidRDefault="00247AAC" w:rsidP="00845A94">
            <w:pPr>
              <w:numPr>
                <w:ilvl w:val="0"/>
                <w:numId w:val="13"/>
              </w:numPr>
              <w:ind w:left="339" w:hanging="282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Świadectwo wzorcowania z odniesieniem do wymogów zachowania spójności pomiarowej parametrów funkcjonalnych urządzenia (przepływ, temperatura, ciśnienie lub inne </w:t>
            </w:r>
            <w:r w:rsidRPr="00AF363E">
              <w:rPr>
                <w:bCs w:val="0"/>
                <w:color w:val="auto"/>
                <w:szCs w:val="24"/>
              </w:rPr>
              <w:t xml:space="preserve">– w formie papierowej w języku polskim </w:t>
            </w:r>
            <w:r w:rsidRPr="00F01628">
              <w:rPr>
                <w:bCs w:val="0"/>
                <w:color w:val="auto"/>
                <w:szCs w:val="24"/>
              </w:rPr>
              <w:t xml:space="preserve"> jeśli ma zastosowanie)</w:t>
            </w:r>
            <w:r w:rsidRPr="00AF363E">
              <w:rPr>
                <w:bCs w:val="0"/>
                <w:color w:val="auto"/>
                <w:szCs w:val="24"/>
              </w:rPr>
              <w:t xml:space="preserve"> – dostarczone w momencie instalacji</w:t>
            </w:r>
            <w:r w:rsidRPr="00F01628">
              <w:rPr>
                <w:bCs w:val="0"/>
                <w:color w:val="auto"/>
                <w:szCs w:val="24"/>
              </w:rPr>
              <w:t>.</w:t>
            </w:r>
            <w:r w:rsidR="00845A94">
              <w:rPr>
                <w:bCs w:val="0"/>
                <w:color w:val="auto"/>
                <w:szCs w:val="24"/>
              </w:rPr>
              <w:t xml:space="preserve"> </w:t>
            </w:r>
            <w:r w:rsidR="00845A94" w:rsidRPr="00845A94">
              <w:rPr>
                <w:bCs w:val="0"/>
                <w:color w:val="auto"/>
                <w:szCs w:val="24"/>
              </w:rPr>
              <w:t>W przypadku przedstawienia dokumentów w języku innym niż polski Wykonawca przedstawi również obok dokumentu oryginalnego tłumaczenie na język polski,</w:t>
            </w:r>
          </w:p>
          <w:p w14:paraId="68AB38F1" w14:textId="77777777" w:rsidR="00247AAC" w:rsidRPr="00F01628" w:rsidRDefault="00247AAC" w:rsidP="00845A94">
            <w:pPr>
              <w:ind w:left="339"/>
              <w:jc w:val="left"/>
              <w:rPr>
                <w:bCs w:val="0"/>
                <w:color w:val="auto"/>
                <w:szCs w:val="24"/>
              </w:rPr>
            </w:pPr>
          </w:p>
          <w:p w14:paraId="0BB4596F" w14:textId="77777777" w:rsidR="00247AAC" w:rsidRPr="00F01628" w:rsidRDefault="00247AAC" w:rsidP="00AF363E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Możliwość raportowania / przesyłania danych z pomiaru zewnętrznych warunków temperatury i ciśnienia do systemu zbierania danych zamontowanego na stacji;</w:t>
            </w:r>
          </w:p>
          <w:p w14:paraId="20D7AFAC" w14:textId="51E5B866" w:rsidR="00247AAC" w:rsidRPr="00F01628" w:rsidRDefault="00247AAC" w:rsidP="00AF363E">
            <w:pPr>
              <w:numPr>
                <w:ilvl w:val="0"/>
                <w:numId w:val="13"/>
              </w:numPr>
              <w:ind w:left="339" w:hanging="28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Raportowane wyniki odniesione do warunków rzeczywistych, zgodnie </w:t>
            </w:r>
            <w:r w:rsidR="00807007">
              <w:rPr>
                <w:bCs w:val="0"/>
                <w:color w:val="auto"/>
                <w:szCs w:val="24"/>
              </w:rPr>
              <w:t>z przepisami obowiązującymi w tym zakresie</w:t>
            </w:r>
          </w:p>
          <w:p w14:paraId="0D7B23BE" w14:textId="77777777" w:rsidR="00247AAC" w:rsidRPr="00F01628" w:rsidRDefault="00247AAC" w:rsidP="00AF363E">
            <w:pPr>
              <w:numPr>
                <w:ilvl w:val="0"/>
                <w:numId w:val="13"/>
              </w:numPr>
              <w:ind w:left="339" w:hanging="28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Równoważny poziom dźwięku emitowany podczas ciągłej całodobowej pracy urządzenia / pompy urządzenia </w:t>
            </w:r>
            <w:r w:rsidRPr="00F01628">
              <w:rPr>
                <w:b/>
                <w:bCs w:val="0"/>
                <w:color w:val="auto"/>
                <w:szCs w:val="24"/>
              </w:rPr>
              <w:t>nie może</w:t>
            </w:r>
            <w:r w:rsidRPr="00F01628">
              <w:rPr>
                <w:bCs w:val="0"/>
                <w:color w:val="auto"/>
                <w:szCs w:val="24"/>
              </w:rPr>
              <w:t xml:space="preserve"> przekroczyć 75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dB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w żadnym z punktów pomiarowych zlokalizowanych w odległości 35 cm od skrajnego obrysu urządzenia / pompy urządzenia.</w:t>
            </w:r>
          </w:p>
        </w:tc>
      </w:tr>
      <w:tr w:rsidR="00247AAC" w:rsidRPr="00F01628" w14:paraId="75373D8B" w14:textId="77777777" w:rsidTr="00247AAC">
        <w:trPr>
          <w:trHeight w:val="255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12B16C9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Głowica pomiarowa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D15EA0B" w14:textId="77777777"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Wykonana ze stali nierdzewnej lub stopów aluminium;</w:t>
            </w:r>
          </w:p>
          <w:p w14:paraId="2CC09DB6" w14:textId="77777777"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Otwory wlotowe do głowicy osłonięte przed opadami deszczu i śniegu;</w:t>
            </w:r>
          </w:p>
          <w:p w14:paraId="746F104D" w14:textId="77777777"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Konstrukcja umożliwiająca swobodny demontaż i czyszczenie;</w:t>
            </w:r>
          </w:p>
          <w:p w14:paraId="63D15B39" w14:textId="77777777"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Taka sama jak używana w badaniach potwierdzających równoważność;</w:t>
            </w:r>
          </w:p>
          <w:p w14:paraId="71A58048" w14:textId="77777777" w:rsidR="00247AAC" w:rsidRPr="00F01628" w:rsidRDefault="00247AAC" w:rsidP="00FC189E">
            <w:pPr>
              <w:numPr>
                <w:ilvl w:val="0"/>
                <w:numId w:val="3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Wykonawca dostarczy dla pyłu PM10 i PM2.5 komplet głowic separujących / układów separujących (w zależności co ma zastosowanie), po jednym na każde dostarczone urządzenie, tak aby każdy analizator mógł mierzyć zarówno pył PM10 jak i po wymianie głowicy / układu separującego, PM2.5.</w:t>
            </w:r>
          </w:p>
        </w:tc>
      </w:tr>
      <w:tr w:rsidR="00247AAC" w:rsidRPr="00F01628" w14:paraId="4C348830" w14:textId="77777777" w:rsidTr="00247AAC">
        <w:trPr>
          <w:trHeight w:val="255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340F335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Układ poboru próby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DBF1FE1" w14:textId="77777777"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W osłonie ze stali nierdzewnej </w:t>
            </w:r>
            <w:r w:rsidRPr="00876324">
              <w:rPr>
                <w:bCs w:val="0"/>
                <w:color w:val="auto"/>
                <w:szCs w:val="24"/>
              </w:rPr>
              <w:t>lub</w:t>
            </w:r>
            <w:r w:rsidRPr="00F01628">
              <w:rPr>
                <w:bCs w:val="0"/>
                <w:color w:val="auto"/>
                <w:szCs w:val="24"/>
              </w:rPr>
              <w:t xml:space="preserve"> stopu aluminium, konstrukcja zapobiegająca kondensacji wilgoci oraz odparowywania części lotnych z pyłu;</w:t>
            </w:r>
          </w:p>
          <w:p w14:paraId="3836DC98" w14:textId="77777777"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Przejście przez dach kontenera zabezpieczone przed przeciekaniem, kołnierzem ze stali nierdzewnej </w:t>
            </w:r>
            <w:r w:rsidRPr="00876324">
              <w:rPr>
                <w:bCs w:val="0"/>
                <w:color w:val="auto"/>
                <w:szCs w:val="24"/>
              </w:rPr>
              <w:t>lub</w:t>
            </w:r>
            <w:r w:rsidRPr="00F01628">
              <w:rPr>
                <w:bCs w:val="0"/>
                <w:color w:val="auto"/>
                <w:szCs w:val="24"/>
              </w:rPr>
              <w:t xml:space="preserve"> stopów aluminium;</w:t>
            </w:r>
          </w:p>
          <w:p w14:paraId="2BB9959A" w14:textId="77777777"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Grzanie inteligentne uzależnione od zewnętrznej temperatury i wilgotności;</w:t>
            </w:r>
          </w:p>
          <w:p w14:paraId="09ACFB62" w14:textId="77777777" w:rsidR="00247AAC" w:rsidRPr="00F01628" w:rsidRDefault="00247AAC" w:rsidP="00876324">
            <w:pPr>
              <w:numPr>
                <w:ilvl w:val="0"/>
                <w:numId w:val="2"/>
              </w:numPr>
              <w:ind w:left="339" w:hanging="264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Położenie głowicy: w granicach 0,5 – 1,2 m ponad powierzchnią dachu mini kontenera.</w:t>
            </w:r>
          </w:p>
        </w:tc>
      </w:tr>
      <w:tr w:rsidR="00247AAC" w:rsidRPr="00F01628" w14:paraId="315677D0" w14:textId="77777777" w:rsidTr="00247AAC">
        <w:trPr>
          <w:trHeight w:val="345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6596C03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Natężenie przepływu powietrza zasysanego do urządzenia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7F916902" w14:textId="77777777"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Regulowane z kompensacją temperatury i ciśnienia (pomiar temperatury i ciśnienia zewnętrznego);</w:t>
            </w:r>
          </w:p>
          <w:p w14:paraId="08765B3B" w14:textId="77777777"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Dokładność regulacji lepsza/równa ± 2%;</w:t>
            </w:r>
          </w:p>
          <w:p w14:paraId="3F969052" w14:textId="77777777"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Czas odpowiedzi regulatora przepływu umożliwiający płynne przejście ze stanów skrajnych zakresu regulacji przepływu (np. czas regulacji przepływu po zmianie taśmy w miernikach opartych o zasadę tłumienia promieniowania beta przy ekstremalnie wysokich stężeniach musi być wystarczający, aby, bez zatrzymań regulacji, dojść do żądanej wartości przepływu); </w:t>
            </w:r>
          </w:p>
          <w:p w14:paraId="0E2B61E0" w14:textId="77777777" w:rsidR="00247AAC" w:rsidRPr="00F01628" w:rsidRDefault="00247AAC" w:rsidP="0030695F">
            <w:pPr>
              <w:numPr>
                <w:ilvl w:val="0"/>
                <w:numId w:val="4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Pompa o wydajności zapewniającej pracę analizatora w deklarowanym przez producenta zakresie pomiarowym.</w:t>
            </w:r>
          </w:p>
        </w:tc>
      </w:tr>
      <w:tr w:rsidR="00247AAC" w:rsidRPr="00F01628" w14:paraId="670C19AF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5D3F2B32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Komunikacja z istniejącym </w:t>
            </w:r>
            <w:r w:rsidRPr="00F01628">
              <w:rPr>
                <w:bCs w:val="0"/>
                <w:color w:val="auto"/>
                <w:szCs w:val="24"/>
              </w:rPr>
              <w:lastRenderedPageBreak/>
              <w:t>systemem zbierania danych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B6905B0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 xml:space="preserve">Poprzez złącze cyfrowe z możliwością transmisji co najmniej: aktualnego i średniego stężenia pyłu (przynajmniej dla okresów średnich 30-min - </w:t>
            </w:r>
            <w:r w:rsidRPr="00F01628">
              <w:rPr>
                <w:bCs w:val="0"/>
                <w:color w:val="auto"/>
                <w:szCs w:val="24"/>
              </w:rPr>
              <w:lastRenderedPageBreak/>
              <w:t>jeśli występuje - lub 60-min) w warunkach rzeczywistych, statusu „ważności danych”, błędów pomiarowych.</w:t>
            </w:r>
          </w:p>
        </w:tc>
      </w:tr>
      <w:tr w:rsidR="00247AAC" w:rsidRPr="00F01628" w14:paraId="2EE0CBAE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56424C3A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Wejścia / wyjścia / wewnętrzny system zbierania danych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8733E5D" w14:textId="77777777" w:rsidR="00247AAC" w:rsidRPr="00F01628" w:rsidRDefault="00247AAC" w:rsidP="003E05C6">
            <w:pPr>
              <w:numPr>
                <w:ilvl w:val="0"/>
                <w:numId w:val="18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Możliwość programowania i diagnostyki (lokalnie z klawiatury i zdalnie przez port cyfrowy);</w:t>
            </w:r>
          </w:p>
          <w:p w14:paraId="082C41D7" w14:textId="77777777" w:rsidR="00247AAC" w:rsidRPr="00F01628" w:rsidRDefault="00247AAC" w:rsidP="003E05C6">
            <w:pPr>
              <w:numPr>
                <w:ilvl w:val="0"/>
                <w:numId w:val="18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Cyfrowe: dwukierunkowe, status i wartości pomiarowe, parametry konfiguracyjne i operacyjne, zdalne sterowanie;</w:t>
            </w:r>
          </w:p>
          <w:p w14:paraId="24E69698" w14:textId="77777777" w:rsidR="00247AAC" w:rsidRPr="00F01628" w:rsidRDefault="00247AAC" w:rsidP="003E05C6">
            <w:pPr>
              <w:numPr>
                <w:ilvl w:val="0"/>
                <w:numId w:val="18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Wewnętrzny system zbierania danych umożliwiający dla przynajmniej 14 dni pomiarowych zapamiętanie wielkości pomiarowych, a przynajmniej: </w:t>
            </w:r>
          </w:p>
          <w:p w14:paraId="3D2C159E" w14:textId="77777777" w:rsidR="00247AAC" w:rsidRPr="00F01628" w:rsidRDefault="00247AAC" w:rsidP="00F01628">
            <w:pPr>
              <w:numPr>
                <w:ilvl w:val="0"/>
                <w:numId w:val="5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średniego stężenia w warunkach rzeczywistych (temperatura i ciśnienie) dla średnich bazowych (30-min lub 60-min),</w:t>
            </w:r>
          </w:p>
          <w:p w14:paraId="5F46246A" w14:textId="77777777" w:rsidR="00247AAC" w:rsidRPr="00F01628" w:rsidRDefault="00247AAC" w:rsidP="00F01628">
            <w:pPr>
              <w:numPr>
                <w:ilvl w:val="0"/>
                <w:numId w:val="5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daty i czasu pomiaru,</w:t>
            </w:r>
          </w:p>
          <w:p w14:paraId="20EFE46E" w14:textId="77777777" w:rsidR="00247AAC" w:rsidRPr="00F01628" w:rsidRDefault="00247AAC" w:rsidP="00F01628">
            <w:pPr>
              <w:numPr>
                <w:ilvl w:val="0"/>
                <w:numId w:val="5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statusu danych (błędy pomiaru);</w:t>
            </w:r>
          </w:p>
          <w:p w14:paraId="2E1B1559" w14:textId="77777777" w:rsidR="00487F76" w:rsidRPr="00487F76" w:rsidRDefault="00247AAC" w:rsidP="003E05C6">
            <w:pPr>
              <w:numPr>
                <w:ilvl w:val="0"/>
                <w:numId w:val="18"/>
              </w:numPr>
              <w:spacing w:after="200" w:line="276" w:lineRule="auto"/>
              <w:ind w:left="480"/>
              <w:contextualSpacing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rFonts w:eastAsia="Calibri"/>
                <w:bCs w:val="0"/>
                <w:color w:val="auto"/>
                <w:szCs w:val="24"/>
                <w:lang w:eastAsia="en-US"/>
              </w:rPr>
              <w:t>Możliwość programowania (za pomocą wbudowanej „klawiatury”): okresu uśredniania stężenia – przynajmniej dla średniej bazowej (30-min lub 60-min) i 24 godzin, daty rozpoczęcia / zakończenia pomiaru;</w:t>
            </w:r>
          </w:p>
          <w:p w14:paraId="600EB273" w14:textId="77777777" w:rsidR="00247AAC" w:rsidRPr="00F01628" w:rsidRDefault="00247AAC" w:rsidP="003E05C6">
            <w:pPr>
              <w:numPr>
                <w:ilvl w:val="0"/>
                <w:numId w:val="18"/>
              </w:numPr>
              <w:spacing w:after="200" w:line="276" w:lineRule="auto"/>
              <w:ind w:left="480"/>
              <w:contextualSpacing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rFonts w:eastAsia="Calibri"/>
                <w:bCs w:val="0"/>
                <w:color w:val="auto"/>
                <w:szCs w:val="24"/>
                <w:lang w:eastAsia="en-US"/>
              </w:rPr>
              <w:t>Jeśli ma zastosowanie – oprogramowanie do komunikacji z PC.</w:t>
            </w:r>
          </w:p>
        </w:tc>
      </w:tr>
      <w:tr w:rsidR="00247AAC" w:rsidRPr="00F01628" w14:paraId="5E91F76A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0F2AD41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Wyświetlacz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78ED3E52" w14:textId="77777777" w:rsidR="00247AAC" w:rsidRPr="00F01628" w:rsidRDefault="00247AAC" w:rsidP="00FC661D">
            <w:pPr>
              <w:numPr>
                <w:ilvl w:val="0"/>
                <w:numId w:val="19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LCD w języku polskim;</w:t>
            </w:r>
          </w:p>
          <w:p w14:paraId="407CDA55" w14:textId="77777777" w:rsidR="00247AAC" w:rsidRPr="00F01628" w:rsidRDefault="00247AAC" w:rsidP="00FC661D">
            <w:pPr>
              <w:numPr>
                <w:ilvl w:val="0"/>
                <w:numId w:val="19"/>
              </w:numPr>
              <w:ind w:left="48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 możliwością wyświetlania na ekranie analizatora przynajmniej:</w:t>
            </w:r>
          </w:p>
          <w:p w14:paraId="10D0CEB7" w14:textId="77777777" w:rsidR="00247AAC" w:rsidRPr="00F01628" w:rsidRDefault="00247AAC" w:rsidP="00F01628">
            <w:pPr>
              <w:numPr>
                <w:ilvl w:val="0"/>
                <w:numId w:val="6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stężenia z ostatniego okresu pomiarowego (lub stężenia aktualnego) w warunkach rzeczywistych (temperatura i ciśnienie),</w:t>
            </w:r>
          </w:p>
          <w:p w14:paraId="3597022C" w14:textId="77777777" w:rsidR="00247AAC" w:rsidRPr="00F01628" w:rsidRDefault="00247AAC" w:rsidP="00F01628">
            <w:pPr>
              <w:numPr>
                <w:ilvl w:val="0"/>
                <w:numId w:val="6"/>
              </w:num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aktualnego natężenia przepływu zasysanego powietrza,</w:t>
            </w:r>
          </w:p>
          <w:p w14:paraId="7D3B1498" w14:textId="77777777" w:rsidR="00247AAC" w:rsidRPr="00F01628" w:rsidRDefault="00247AAC" w:rsidP="00247AAC">
            <w:pPr>
              <w:ind w:left="360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statusu danych (błędy pomiarowe).</w:t>
            </w:r>
          </w:p>
        </w:tc>
      </w:tr>
      <w:tr w:rsidR="00247AAC" w:rsidRPr="00F01628" w14:paraId="57B40FF8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20CD8270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Zestawy kalibracyjne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0711CFDE" w14:textId="77777777" w:rsidR="00247AAC" w:rsidRPr="00F01628" w:rsidRDefault="00247AAC" w:rsidP="00EE09ED">
            <w:pPr>
              <w:numPr>
                <w:ilvl w:val="0"/>
                <w:numId w:val="15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Do każdego dostarczonego urządzenia jeden zestaw kalibracyjny (jeśli występuje), jeśli urządzenie pozwala na kalibrację masy lub gęstości pyłu w warunkach terenowych;</w:t>
            </w:r>
          </w:p>
          <w:p w14:paraId="51602E92" w14:textId="77777777" w:rsidR="00247AAC" w:rsidRPr="00F01628" w:rsidRDefault="00247AAC" w:rsidP="00EE09ED">
            <w:pPr>
              <w:numPr>
                <w:ilvl w:val="0"/>
                <w:numId w:val="15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Jeśli występuje filtr zerowy należy dostarczyć do każdego urządzenia;</w:t>
            </w:r>
          </w:p>
          <w:p w14:paraId="71E77658" w14:textId="77777777" w:rsidR="00247AAC" w:rsidRPr="00F01628" w:rsidRDefault="00247AAC" w:rsidP="00EE09ED">
            <w:pPr>
              <w:numPr>
                <w:ilvl w:val="0"/>
                <w:numId w:val="15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t xml:space="preserve">Jeśli wzorcowanie analizatora możliwe jest tylko w laboratorium producenta lub laboratorium przez producenta wskazanym (konieczność demontażu analizatora ze stacji monitoringu powietrza), Wykonawca na swój koszt przed instalacją i corocznie w okresie trwania gwarancji będzie takie wzorcowania realizował. Pierwsze wzorcowanie, wraz z dostarczeniem świadectwa wzorcowania, zrealizowane musi być przed instalacją analizatora na stacji. Kolejne, wykonywane corocznie, wzorcowania nie mogą powodować utraty danych większej niż 7 dni w roku. </w:t>
            </w:r>
          </w:p>
        </w:tc>
      </w:tr>
      <w:tr w:rsidR="00247AAC" w:rsidRPr="00F01628" w14:paraId="3375D138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1D57CA1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Sposób kalibracji przepływu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61AF6AA" w14:textId="77777777" w:rsidR="00247AAC" w:rsidRPr="00F01628" w:rsidRDefault="00247AAC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Możliwość sprawdzenia przepływu bez konieczności demontażu analizatora</w:t>
            </w:r>
          </w:p>
        </w:tc>
      </w:tr>
      <w:tr w:rsidR="00247AAC" w:rsidRPr="00F01628" w14:paraId="31AEF515" w14:textId="77777777" w:rsidTr="00247AAC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9E815AE" w14:textId="77777777" w:rsidR="00247AAC" w:rsidRPr="00F01628" w:rsidRDefault="00247AAC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Materiały eksploatacyjne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79480DC" w14:textId="77777777" w:rsidR="00247AAC" w:rsidRPr="00F01628" w:rsidRDefault="00247AAC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Dla każdego analizatora, na okres trwania gwarancji ciągłej pracy, dla średnich 24 godzinnych stężeń pyłu rzędu 50 - 100 µg/m</w:t>
            </w:r>
            <w:r w:rsidRPr="00F01628">
              <w:rPr>
                <w:bCs w:val="0"/>
                <w:color w:val="auto"/>
                <w:szCs w:val="24"/>
                <w:vertAlign w:val="superscript"/>
              </w:rPr>
              <w:t>3</w:t>
            </w:r>
            <w:r w:rsidRPr="00F01628">
              <w:rPr>
                <w:bCs w:val="0"/>
                <w:color w:val="auto"/>
                <w:szCs w:val="24"/>
              </w:rPr>
              <w:t>:</w:t>
            </w:r>
          </w:p>
          <w:p w14:paraId="47207128" w14:textId="77777777"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Kabel łączący RS232 lub inny stosowny do komunikacji z PC;</w:t>
            </w:r>
          </w:p>
          <w:p w14:paraId="42A1E153" w14:textId="77777777"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Materiały eksploatacyjne pompy (membrany, zawory, tłumiki itp.), w ilości zapewniającej bezawaryjny czas pracy pompy w okresie trwania gwarancji;</w:t>
            </w:r>
          </w:p>
          <w:p w14:paraId="574E062B" w14:textId="77777777"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Smar do głowicy (jeśli występuje);</w:t>
            </w:r>
          </w:p>
          <w:p w14:paraId="674F715E" w14:textId="77777777"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Materiały filtracyjne (filtry, taśmy - jeśli występują);</w:t>
            </w:r>
          </w:p>
          <w:p w14:paraId="6DBD0381" w14:textId="77777777" w:rsidR="00247AAC" w:rsidRPr="00F01628" w:rsidRDefault="00247AAC" w:rsidP="00F01628">
            <w:pPr>
              <w:numPr>
                <w:ilvl w:val="0"/>
                <w:numId w:val="16"/>
              </w:numPr>
              <w:ind w:left="442"/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Taśmy do drukarki (jeśli występują);</w:t>
            </w:r>
          </w:p>
          <w:p w14:paraId="073C5C56" w14:textId="77777777" w:rsidR="00247AAC" w:rsidRPr="00F01628" w:rsidRDefault="00247AAC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Inne materiały przewidziane przez Producenta.</w:t>
            </w:r>
          </w:p>
        </w:tc>
      </w:tr>
      <w:tr w:rsidR="003F2A58" w:rsidRPr="00F01628" w14:paraId="46783F3E" w14:textId="77777777" w:rsidTr="003F2A58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1FFCF60E" w14:textId="77777777" w:rsidR="003F2A58" w:rsidRPr="00F01628" w:rsidRDefault="003F2A58" w:rsidP="00F01628">
            <w:pPr>
              <w:rPr>
                <w:b/>
                <w:bCs w:val="0"/>
                <w:i/>
                <w:color w:val="auto"/>
                <w:szCs w:val="24"/>
              </w:rPr>
            </w:pPr>
            <w:r w:rsidRPr="00F01628">
              <w:rPr>
                <w:b/>
                <w:bCs w:val="0"/>
                <w:i/>
                <w:color w:val="auto"/>
                <w:szCs w:val="24"/>
              </w:rPr>
              <w:t>Mini kontener pomiarowy</w:t>
            </w:r>
          </w:p>
        </w:tc>
      </w:tr>
      <w:tr w:rsidR="003F2A58" w:rsidRPr="00F01628" w14:paraId="40F7301A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E1F044B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Ogólne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6F471C2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</w:p>
          <w:p w14:paraId="7ABD085F" w14:textId="77777777" w:rsidR="003F2A58" w:rsidRPr="00F01628" w:rsidRDefault="003F2A58" w:rsidP="0079109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Fabrycznie nowy z produkcji seryjnej, rok produkcji nie wcześniej niż 202</w:t>
            </w:r>
            <w:r>
              <w:rPr>
                <w:bCs w:val="0"/>
                <w:color w:val="auto"/>
                <w:szCs w:val="24"/>
              </w:rPr>
              <w:t>1</w:t>
            </w:r>
          </w:p>
        </w:tc>
      </w:tr>
      <w:tr w:rsidR="00791098" w:rsidRPr="00F01628" w14:paraId="6FD9E791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5FD3E91" w14:textId="77777777"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Wymiary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3F563ACF" w14:textId="77777777" w:rsidR="00791098" w:rsidRPr="00F01628" w:rsidRDefault="00791098" w:rsidP="00F01628">
            <w:pPr>
              <w:rPr>
                <w:color w:val="auto"/>
              </w:rPr>
            </w:pPr>
            <w:r w:rsidRPr="00F01628">
              <w:t>Szerokość zewnętrzna</w:t>
            </w:r>
            <w:r w:rsidRPr="00F01628">
              <w:rPr>
                <w:color w:val="auto"/>
              </w:rPr>
              <w:t>: maksymalnie 70 cm</w:t>
            </w:r>
          </w:p>
          <w:p w14:paraId="6A1AF3E2" w14:textId="77777777" w:rsidR="00791098" w:rsidRPr="00F01628" w:rsidRDefault="00791098" w:rsidP="00F01628">
            <w:pPr>
              <w:rPr>
                <w:color w:val="auto"/>
              </w:rPr>
            </w:pPr>
            <w:r w:rsidRPr="00F01628">
              <w:rPr>
                <w:color w:val="auto"/>
              </w:rPr>
              <w:t>Długość zewnętrzna: maksymalnie 90 cm</w:t>
            </w:r>
          </w:p>
          <w:p w14:paraId="270B1964" w14:textId="77777777" w:rsidR="00791098" w:rsidRPr="00F01628" w:rsidRDefault="00791098" w:rsidP="00F01628">
            <w:r w:rsidRPr="00F01628">
              <w:rPr>
                <w:color w:val="auto"/>
              </w:rPr>
              <w:t>Wysokość zewnętrzna: maksymalnie 90 cm</w:t>
            </w:r>
          </w:p>
        </w:tc>
      </w:tr>
      <w:tr w:rsidR="00791098" w:rsidRPr="00F01628" w14:paraId="7F502172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595A881" w14:textId="77777777"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Waga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96E1609" w14:textId="77777777" w:rsidR="00791098" w:rsidRPr="00F01628" w:rsidRDefault="00791098" w:rsidP="00F01628">
            <w:r w:rsidRPr="00F01628">
              <w:t xml:space="preserve">Maksymalnie 90 kg </w:t>
            </w:r>
          </w:p>
        </w:tc>
      </w:tr>
      <w:tr w:rsidR="00791098" w:rsidRPr="00F01628" w14:paraId="0381ACB0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0200BE0" w14:textId="77777777" w:rsidR="00791098" w:rsidRPr="00F01628" w:rsidRDefault="00791098" w:rsidP="00F0162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  <w:r w:rsidRPr="00F01628">
              <w:rPr>
                <w:rFonts w:cs="Arial"/>
                <w:szCs w:val="24"/>
              </w:rPr>
              <w:t>Instalacja elektryczna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87454C9" w14:textId="77777777" w:rsidR="00791098" w:rsidRPr="00A6297B" w:rsidRDefault="00791098" w:rsidP="00A6297B">
            <w:pPr>
              <w:pStyle w:val="Akapitzlist"/>
              <w:numPr>
                <w:ilvl w:val="0"/>
                <w:numId w:val="22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Instalacja elektryczna zgodna z odpowiednimi obowiązującymi przepisami i normami oraz BHP.</w:t>
            </w:r>
          </w:p>
          <w:p w14:paraId="11E576A5" w14:textId="77777777" w:rsidR="00791098" w:rsidRPr="00A6297B" w:rsidRDefault="00791098" w:rsidP="00A6297B">
            <w:pPr>
              <w:pStyle w:val="Akapitzlist"/>
              <w:numPr>
                <w:ilvl w:val="0"/>
                <w:numId w:val="22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Zabezpieczenie nadmiarowo – prądowe.</w:t>
            </w:r>
          </w:p>
          <w:p w14:paraId="2B054054" w14:textId="77777777" w:rsidR="00791098" w:rsidRPr="00A6297B" w:rsidRDefault="00791098" w:rsidP="00A6297B">
            <w:pPr>
              <w:pStyle w:val="Akapitzlist"/>
              <w:numPr>
                <w:ilvl w:val="0"/>
                <w:numId w:val="22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W środku min. 3 gniazda prądowe.</w:t>
            </w:r>
          </w:p>
        </w:tc>
      </w:tr>
      <w:tr w:rsidR="00791098" w:rsidRPr="00F01628" w14:paraId="4D1875C3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20CA8B12" w14:textId="77777777"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Budowa i funkcjonalność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1545EEAF" w14:textId="77777777" w:rsidR="00791098" w:rsidRPr="00F01628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</w:pPr>
            <w:r w:rsidRPr="00F01628">
              <w:t>Konstrukcja powinna być wodoszczelna i pyłoszczelna.</w:t>
            </w:r>
          </w:p>
          <w:p w14:paraId="36E26B71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Kontener wykonany z metalu - materiałów zabezpieczonych antykorozyjnie.</w:t>
            </w:r>
          </w:p>
          <w:p w14:paraId="2740ACE9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F01628">
              <w:t>Ściany i dach wypełnione materiałem termoizolacyjnym minimum 1 cm.</w:t>
            </w:r>
          </w:p>
          <w:p w14:paraId="77363ED5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W środku możliwość bezpiecznego i stabilnego zamontowania pyłomierza wraz z osprzętem.</w:t>
            </w:r>
          </w:p>
          <w:p w14:paraId="77156990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 xml:space="preserve">Możliwość bezpiecznego i stabilnego zamontowania </w:t>
            </w:r>
            <w:proofErr w:type="spellStart"/>
            <w:r w:rsidRPr="00A6297B">
              <w:rPr>
                <w:bCs w:val="0"/>
                <w:color w:val="auto"/>
                <w:szCs w:val="24"/>
              </w:rPr>
              <w:t>dataloggera</w:t>
            </w:r>
            <w:proofErr w:type="spellEnd"/>
            <w:r w:rsidRPr="00A6297B">
              <w:rPr>
                <w:bCs w:val="0"/>
                <w:color w:val="auto"/>
                <w:szCs w:val="24"/>
              </w:rPr>
              <w:t xml:space="preserve"> wraz z osprzętem</w:t>
            </w:r>
          </w:p>
          <w:p w14:paraId="0B7FA0A4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 xml:space="preserve">Kontener wyposażony w zintegrowany, </w:t>
            </w:r>
            <w:r w:rsidRPr="00A6297B">
              <w:rPr>
                <w:color w:val="auto"/>
              </w:rPr>
              <w:t xml:space="preserve">automatyczny układ </w:t>
            </w:r>
            <w:r w:rsidRPr="00A6297B">
              <w:rPr>
                <w:bCs w:val="0"/>
                <w:color w:val="auto"/>
                <w:szCs w:val="24"/>
              </w:rPr>
              <w:t>chłodząco-grzejący (klimatyzator + grzejnik) pozwalający na utrzymywanie temperatury wewnętrznej zadanej przez użytkownika (w granicach 15</w:t>
            </w:r>
            <w:r w:rsidRPr="00A6297B">
              <w:rPr>
                <w:rFonts w:ascii="Calibri" w:hAnsi="Calibri"/>
                <w:bCs w:val="0"/>
                <w:color w:val="auto"/>
                <w:szCs w:val="24"/>
              </w:rPr>
              <w:t>°</w:t>
            </w:r>
            <w:r w:rsidRPr="00A6297B">
              <w:rPr>
                <w:bCs w:val="0"/>
                <w:color w:val="auto"/>
                <w:szCs w:val="24"/>
              </w:rPr>
              <w:t>C - 23</w:t>
            </w:r>
            <w:r w:rsidRPr="00A6297B">
              <w:rPr>
                <w:rFonts w:ascii="Calibri" w:hAnsi="Calibri"/>
                <w:bCs w:val="0"/>
                <w:color w:val="auto"/>
                <w:szCs w:val="24"/>
              </w:rPr>
              <w:t>°</w:t>
            </w:r>
            <w:r w:rsidRPr="00A6297B">
              <w:rPr>
                <w:bCs w:val="0"/>
                <w:color w:val="auto"/>
                <w:szCs w:val="24"/>
              </w:rPr>
              <w:t>C).</w:t>
            </w:r>
          </w:p>
          <w:p w14:paraId="3A4279A3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 xml:space="preserve">W dachu wykonany dedykowany do dostarczanego analizatora do ciągłego, automatycznego pomiaru stężeń pyłu zawieszonego PM10/PM2.5 przepust, szczelny, nie przeciekający. </w:t>
            </w:r>
          </w:p>
          <w:p w14:paraId="234135B0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lastRenderedPageBreak/>
              <w:t xml:space="preserve">W kontenerze wykonany przepust umożliwiający podpięcie zasilania do kontenera, wypuszczenie na zewnątrz anteny do modemu </w:t>
            </w:r>
            <w:proofErr w:type="spellStart"/>
            <w:r w:rsidRPr="00A6297B">
              <w:rPr>
                <w:bCs w:val="0"/>
                <w:color w:val="auto"/>
                <w:szCs w:val="24"/>
              </w:rPr>
              <w:t>dataloggera</w:t>
            </w:r>
            <w:proofErr w:type="spellEnd"/>
            <w:r w:rsidRPr="00A6297B">
              <w:rPr>
                <w:bCs w:val="0"/>
                <w:color w:val="auto"/>
                <w:szCs w:val="24"/>
              </w:rPr>
              <w:t>.</w:t>
            </w:r>
          </w:p>
          <w:p w14:paraId="17B561C1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color w:val="auto"/>
              </w:rPr>
            </w:pPr>
            <w:r w:rsidRPr="00A6297B">
              <w:rPr>
                <w:color w:val="auto"/>
              </w:rPr>
              <w:t>Dostęp do kontenera przez drzwi zamontowane w przedniej ścianie.</w:t>
            </w:r>
          </w:p>
          <w:p w14:paraId="2473E129" w14:textId="77777777" w:rsidR="00791098" w:rsidRPr="00A6297B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A6297B">
              <w:rPr>
                <w:bCs w:val="0"/>
                <w:color w:val="auto"/>
                <w:szCs w:val="24"/>
              </w:rPr>
              <w:t>Zamek patentowy w drzwiach.</w:t>
            </w:r>
          </w:p>
          <w:p w14:paraId="0C91B6A4" w14:textId="77777777" w:rsidR="00791098" w:rsidRPr="00F01628" w:rsidRDefault="00791098" w:rsidP="00A6297B">
            <w:pPr>
              <w:pStyle w:val="Akapitzlist"/>
              <w:numPr>
                <w:ilvl w:val="0"/>
                <w:numId w:val="21"/>
              </w:numPr>
              <w:ind w:left="339"/>
            </w:pPr>
            <w:r w:rsidRPr="00A6297B">
              <w:rPr>
                <w:bCs w:val="0"/>
                <w:color w:val="auto"/>
                <w:szCs w:val="24"/>
              </w:rPr>
              <w:t>2 uchwyty na ścianach umożlwiające przeniesienie kontenera</w:t>
            </w:r>
          </w:p>
        </w:tc>
      </w:tr>
      <w:tr w:rsidR="00791098" w:rsidRPr="00F01628" w14:paraId="20C30C6A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E6A9EEB" w14:textId="77777777" w:rsidR="00791098" w:rsidRPr="00F01628" w:rsidRDefault="0079109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Wyposażenie dodatkowe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1B5F787D" w14:textId="77777777" w:rsidR="00791098" w:rsidRPr="00520A7E" w:rsidRDefault="00791098" w:rsidP="00520A7E">
            <w:pPr>
              <w:pStyle w:val="Akapitzlist"/>
              <w:numPr>
                <w:ilvl w:val="0"/>
                <w:numId w:val="23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520A7E">
              <w:rPr>
                <w:bCs w:val="0"/>
                <w:color w:val="auto"/>
                <w:szCs w:val="24"/>
              </w:rPr>
              <w:t xml:space="preserve">Kabel zasilający min. </w:t>
            </w:r>
            <w:r w:rsidR="00A54FC7" w:rsidRPr="00520A7E">
              <w:rPr>
                <w:bCs w:val="0"/>
                <w:color w:val="auto"/>
                <w:szCs w:val="24"/>
              </w:rPr>
              <w:t>5</w:t>
            </w:r>
            <w:r w:rsidRPr="00520A7E">
              <w:rPr>
                <w:bCs w:val="0"/>
                <w:color w:val="auto"/>
                <w:szCs w:val="24"/>
              </w:rPr>
              <w:t xml:space="preserve"> m długości do podpięcia kontenera do zasilania zewnętrznego. </w:t>
            </w:r>
          </w:p>
          <w:p w14:paraId="389E0217" w14:textId="77777777" w:rsidR="00791098" w:rsidRPr="00520A7E" w:rsidRDefault="00791098" w:rsidP="00520A7E">
            <w:pPr>
              <w:pStyle w:val="Akapitzlist"/>
              <w:numPr>
                <w:ilvl w:val="0"/>
                <w:numId w:val="23"/>
              </w:numPr>
              <w:ind w:left="339"/>
              <w:jc w:val="left"/>
              <w:rPr>
                <w:bCs w:val="0"/>
                <w:color w:val="auto"/>
                <w:szCs w:val="24"/>
              </w:rPr>
            </w:pPr>
            <w:r w:rsidRPr="00520A7E">
              <w:rPr>
                <w:bCs w:val="0"/>
                <w:color w:val="auto"/>
                <w:szCs w:val="24"/>
              </w:rPr>
              <w:t>Do mini kontenera dołączony stojak umożliwiający stabilne posadowienie na nim kontenera min. 30 cm nad powierzchnią terenu. Stojak wykonany z materiałów niekorodujących, odpornych na warunki atmosferyczne. Nogi stojaka zakończone w sposób umożliwiający przytwierdzenie stojaka za pomocą kołków szybkiego montażu do podłoża.</w:t>
            </w:r>
          </w:p>
        </w:tc>
      </w:tr>
      <w:tr w:rsidR="00791098" w:rsidRPr="00F01628" w14:paraId="64A9A90E" w14:textId="77777777" w:rsidTr="00BD7552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5C01319" w14:textId="77777777" w:rsidR="00791098" w:rsidRPr="00791098" w:rsidRDefault="00791098" w:rsidP="00BD7552">
            <w:pPr>
              <w:jc w:val="left"/>
              <w:rPr>
                <w:b/>
                <w:bCs w:val="0"/>
                <w:color w:val="auto"/>
                <w:szCs w:val="24"/>
              </w:rPr>
            </w:pPr>
            <w:proofErr w:type="spellStart"/>
            <w:r w:rsidRPr="00791098">
              <w:rPr>
                <w:b/>
                <w:bCs w:val="0"/>
                <w:color w:val="auto"/>
                <w:szCs w:val="24"/>
              </w:rPr>
              <w:t>Datalogger</w:t>
            </w:r>
            <w:proofErr w:type="spellEnd"/>
          </w:p>
        </w:tc>
      </w:tr>
      <w:tr w:rsidR="003F2A58" w:rsidRPr="00F01628" w14:paraId="4B991A87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5BC76B68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Ogólne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0C704F26" w14:textId="77777777" w:rsidR="003F2A58" w:rsidRPr="00F01628" w:rsidRDefault="003F2A58" w:rsidP="0079109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Fabrycznie nowy z produkcji seryjnej, rok produkcji: nie wcześniej niż 202</w:t>
            </w:r>
            <w:r>
              <w:rPr>
                <w:bCs w:val="0"/>
                <w:color w:val="auto"/>
                <w:szCs w:val="24"/>
              </w:rPr>
              <w:t>1</w:t>
            </w:r>
            <w:r w:rsidRPr="00F01628">
              <w:rPr>
                <w:bCs w:val="0"/>
                <w:color w:val="auto"/>
                <w:szCs w:val="24"/>
              </w:rPr>
              <w:t xml:space="preserve"> r.</w:t>
            </w:r>
          </w:p>
        </w:tc>
      </w:tr>
      <w:tr w:rsidR="003F2A58" w:rsidRPr="00F01628" w14:paraId="0CD826DC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B9B8FF3" w14:textId="77777777" w:rsidR="003F2A58" w:rsidRPr="00F01628" w:rsidRDefault="003F2A58" w:rsidP="00F01628">
            <w:pPr>
              <w:jc w:val="left"/>
              <w:rPr>
                <w:bCs w:val="0"/>
                <w:strike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Współpraca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9EE2E20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proofErr w:type="spellStart"/>
            <w:r w:rsidRPr="00F01628">
              <w:rPr>
                <w:bCs w:val="0"/>
                <w:color w:val="auto"/>
                <w:szCs w:val="24"/>
              </w:rPr>
              <w:t>Datalagger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w pełni współpracujący z systemami zbierania danych (CAS) firmy DAC System opartych na systemie ENVIRO.</w:t>
            </w:r>
          </w:p>
          <w:p w14:paraId="316C5B17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</w:p>
          <w:p w14:paraId="24EF568D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Dostarczone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dataloggery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spełniać muszą wszystkie funkcje wymagane do obsługi systemu zbierania danych do wyżej wymienionego systemu, w tym przede wszystkim: zbieranie wszystkich danych i parametrów pracy wytwarzanych przez dostarczony analizator, komunikację i eksport danych na serwer CAS, eksport dodatkowych dane z systemów monitorujących warunki w kontenerze.</w:t>
            </w:r>
          </w:p>
        </w:tc>
      </w:tr>
      <w:tr w:rsidR="003F2A58" w:rsidRPr="00F01628" w14:paraId="7B23E617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5B576BE9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Wejścia/wyjścia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3D3A701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min. 2 porty Ethernet LAN (dopuszczalne zastosowanie zewnętrznego rozdzielacza)</w:t>
            </w:r>
          </w:p>
          <w:p w14:paraId="29BAB7A4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min. 4 portów szeregowych RS232 (w tym 1 szt. z dodatkową obsługą 1-wire, 1 szt. z dodatkową obsługą RS485)</w:t>
            </w:r>
          </w:p>
        </w:tc>
      </w:tr>
      <w:tr w:rsidR="003F2A58" w:rsidRPr="00F01628" w14:paraId="796A8746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2B3F068E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Zasilanie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BEB355A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230 V 50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Hz</w:t>
            </w:r>
            <w:proofErr w:type="spellEnd"/>
          </w:p>
        </w:tc>
      </w:tr>
      <w:tr w:rsidR="003F2A58" w:rsidRPr="00F01628" w14:paraId="4F595A55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6D47082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Funkcjonalność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1EECEA3E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wykonanie w jednej zespolonej obudowie,</w:t>
            </w:r>
          </w:p>
          <w:p w14:paraId="01E31D27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- obsługa zewnętrznego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modemo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-routera GPRS-HSPA z Ethernet/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WiFi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– należy dostarczyć wraz z data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loggerem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</w:t>
            </w:r>
          </w:p>
          <w:p w14:paraId="00E1FF5E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- możliwość podpięcia do sieci lokalnej portem Ethernet oraz poprzez wykorzystanie lokalnej sieci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WiFi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</w:t>
            </w:r>
          </w:p>
          <w:p w14:paraId="790E7457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 xml:space="preserve">- dostępne protokoły komunikacyjne, minimum: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Modbus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Bayern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Hessen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. LUFFT, Grimm,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Airmotec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API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Comm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 AK (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Thermo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), API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Comm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API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BAMTerm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, BH-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8M,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Environnement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Horiba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r w:rsidRPr="00F01628">
              <w:rPr>
                <w:bCs w:val="0"/>
                <w:color w:val="auto"/>
                <w:szCs w:val="24"/>
              </w:rPr>
              <w:lastRenderedPageBreak/>
              <w:t xml:space="preserve">Luft UMB, MCZ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Protocol,Metek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ML (Monitor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Labs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), MODE 4 (Extended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Environnement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),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Synspec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Protocol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Synspec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ASCII, TEI (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Thermo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Environnement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Instruments),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Thermo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C-Link,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Teledyne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-API,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Vaisala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 xml:space="preserve"> MAWS, 1 </w:t>
            </w:r>
            <w:proofErr w:type="spellStart"/>
            <w:r w:rsidRPr="00F01628">
              <w:rPr>
                <w:bCs w:val="0"/>
                <w:color w:val="auto"/>
                <w:szCs w:val="24"/>
              </w:rPr>
              <w:t>Wire</w:t>
            </w:r>
            <w:proofErr w:type="spellEnd"/>
            <w:r w:rsidRPr="00F01628">
              <w:rPr>
                <w:bCs w:val="0"/>
                <w:color w:val="auto"/>
                <w:szCs w:val="24"/>
              </w:rPr>
              <w:t>.,</w:t>
            </w:r>
          </w:p>
          <w:p w14:paraId="3A923179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oprogramowanie dedykowane obsługiwane przez stronę www lub przez oprogramowanie zainstalowane na komputerze przenośnym. Możliwość zdalnego podglądu danych bieżących, pobrania danych oraz eksportu do arkusza kalkulacyjnego,</w:t>
            </w:r>
          </w:p>
          <w:p w14:paraId="1580D024" w14:textId="77777777" w:rsidR="003F2A58" w:rsidRPr="00F01628" w:rsidRDefault="003F2A58" w:rsidP="00F01628">
            <w:pPr>
              <w:rPr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możliwość programowania agregacji danych min. średnie 1 min, 10 min, 30 min, 60 min,</w:t>
            </w:r>
          </w:p>
          <w:p w14:paraId="09BDBF1C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 możliwość zapisu i przechowywania danych przez okres min 2 miesięcy.</w:t>
            </w:r>
          </w:p>
        </w:tc>
      </w:tr>
      <w:tr w:rsidR="003F2A58" w:rsidRPr="00F01628" w14:paraId="56D946B2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1EB3B75" w14:textId="77777777" w:rsidR="003F2A58" w:rsidRPr="00F01628" w:rsidRDefault="003F2A58" w:rsidP="00F01628">
            <w:pPr>
              <w:jc w:val="left"/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lastRenderedPageBreak/>
              <w:t>Wyposażenie dodatkowe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854C368" w14:textId="77777777" w:rsidR="003F2A58" w:rsidRPr="00F01628" w:rsidRDefault="003F2A58" w:rsidP="00F01628">
            <w:pPr>
              <w:rPr>
                <w:bCs w:val="0"/>
                <w:color w:val="auto"/>
                <w:szCs w:val="24"/>
              </w:rPr>
            </w:pPr>
            <w:r w:rsidRPr="00F01628">
              <w:rPr>
                <w:bCs w:val="0"/>
                <w:color w:val="auto"/>
                <w:szCs w:val="24"/>
              </w:rPr>
              <w:t>- Czujnik temperatury wewnętrznej.</w:t>
            </w:r>
          </w:p>
        </w:tc>
      </w:tr>
      <w:tr w:rsidR="00B5035F" w:rsidRPr="00F01628" w14:paraId="2977CC9B" w14:textId="77777777" w:rsidTr="005F05AC">
        <w:trPr>
          <w:trHeight w:val="62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879F34D" w14:textId="77777777" w:rsidR="00B5035F" w:rsidRPr="00B5035F" w:rsidRDefault="00B5035F" w:rsidP="005F05AC">
            <w:pPr>
              <w:jc w:val="left"/>
              <w:rPr>
                <w:b/>
                <w:bCs w:val="0"/>
                <w:i/>
                <w:color w:val="auto"/>
                <w:szCs w:val="24"/>
              </w:rPr>
            </w:pPr>
            <w:r w:rsidRPr="00641581">
              <w:rPr>
                <w:b/>
                <w:bCs w:val="0"/>
                <w:i/>
                <w:color w:val="auto"/>
                <w:szCs w:val="24"/>
              </w:rPr>
              <w:t>Zintegrowany zestaw</w:t>
            </w:r>
            <w:r w:rsidRPr="00B5035F">
              <w:rPr>
                <w:b/>
                <w:bCs w:val="0"/>
                <w:i/>
                <w:color w:val="auto"/>
                <w:szCs w:val="24"/>
              </w:rPr>
              <w:t xml:space="preserve"> meteorologiczny wyposażony w czujnik kierunku i prędkości wiatru, temperatury, wilgotności względnej i ciśnienia atmosferycznego, maszt</w:t>
            </w:r>
          </w:p>
        </w:tc>
      </w:tr>
      <w:tr w:rsidR="003F2A58" w:rsidRPr="00F01628" w14:paraId="7BD75D1B" w14:textId="77777777" w:rsidTr="003F2A5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73F124E8" w14:textId="77777777" w:rsidR="003F2A58" w:rsidRPr="003A3F69" w:rsidRDefault="003F2A58" w:rsidP="00247AAC">
            <w:pPr>
              <w:rPr>
                <w:szCs w:val="24"/>
              </w:rPr>
            </w:pPr>
            <w:bookmarkStart w:id="1" w:name="OLE_LINK6"/>
            <w:r w:rsidRPr="003A3F69">
              <w:rPr>
                <w:szCs w:val="24"/>
              </w:rPr>
              <w:t>Ogólne</w:t>
            </w:r>
            <w:bookmarkEnd w:id="1"/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0521C6E1" w14:textId="77777777" w:rsidR="003F2A58" w:rsidRPr="00F01628" w:rsidRDefault="003F2A58" w:rsidP="004E647C">
            <w:pPr>
              <w:jc w:val="left"/>
              <w:rPr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Fabrycznie nowy z produkcji seryjnej, rok produkcji nie wcześniej niż 2021</w:t>
            </w:r>
          </w:p>
        </w:tc>
      </w:tr>
      <w:tr w:rsidR="00791098" w:rsidRPr="00F01628" w14:paraId="46EFFBF6" w14:textId="77777777" w:rsidTr="00641581">
        <w:trPr>
          <w:trHeight w:val="1167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01BDDEE" w14:textId="77777777" w:rsidR="00791098" w:rsidRPr="003A3F69" w:rsidRDefault="00791098" w:rsidP="00247AAC">
            <w:pPr>
              <w:jc w:val="left"/>
              <w:rPr>
                <w:bCs w:val="0"/>
                <w:color w:val="auto"/>
                <w:szCs w:val="24"/>
              </w:rPr>
            </w:pPr>
            <w:r w:rsidRPr="003A3F69">
              <w:rPr>
                <w:bCs w:val="0"/>
                <w:color w:val="auto"/>
                <w:szCs w:val="24"/>
              </w:rPr>
              <w:t xml:space="preserve">Wzorcowanie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181DB686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3A3F69">
              <w:rPr>
                <w:color w:val="auto"/>
                <w:szCs w:val="24"/>
              </w:rPr>
              <w:t>Fabryczne świadectwo wzorcowania dla czujników dostarczon</w:t>
            </w:r>
            <w:r>
              <w:rPr>
                <w:color w:val="auto"/>
                <w:szCs w:val="24"/>
              </w:rPr>
              <w:t>e przy instalacji tych urządzeń – w formie papierowej w języku polskim</w:t>
            </w:r>
            <w:r w:rsidR="00845A94">
              <w:rPr>
                <w:color w:val="auto"/>
                <w:szCs w:val="24"/>
              </w:rPr>
              <w:t xml:space="preserve">. </w:t>
            </w:r>
            <w:r w:rsidR="00845A94" w:rsidRPr="00845A94">
              <w:rPr>
                <w:color w:val="auto"/>
                <w:szCs w:val="24"/>
              </w:rPr>
              <w:t>W przypadku przedstawienia dokumentów w języku innym niż polski Wykonawca przedstawi również obok dokumentu oryginalnego tłumaczenie na język polski</w:t>
            </w:r>
            <w:r w:rsidR="00845A94">
              <w:rPr>
                <w:color w:val="auto"/>
                <w:szCs w:val="24"/>
              </w:rPr>
              <w:t>.</w:t>
            </w:r>
          </w:p>
        </w:tc>
      </w:tr>
      <w:tr w:rsidR="00641581" w:rsidRPr="00F01628" w14:paraId="7EFE2876" w14:textId="77777777" w:rsidTr="00641581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FA1D891" w14:textId="77777777" w:rsidR="00641581" w:rsidRPr="00F01628" w:rsidRDefault="00641581" w:rsidP="00247AAC">
            <w:pPr>
              <w:rPr>
                <w:bCs w:val="0"/>
                <w:color w:val="auto"/>
                <w:szCs w:val="24"/>
              </w:rPr>
            </w:pPr>
            <w:r w:rsidRPr="00247AAC">
              <w:rPr>
                <w:b/>
                <w:color w:val="auto"/>
                <w:szCs w:val="24"/>
              </w:rPr>
              <w:t>Czujnik kierunku i prędkości wiatru</w:t>
            </w:r>
          </w:p>
        </w:tc>
      </w:tr>
      <w:tr w:rsidR="00791098" w:rsidRPr="00F01628" w14:paraId="19EA55C2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77632562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sz w:val="24"/>
                <w:szCs w:val="24"/>
              </w:rPr>
              <w:t>Metoda pomiaru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319E1DCF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Ultradźwiękowy anemometr 2D lub 3D </w:t>
            </w:r>
          </w:p>
        </w:tc>
      </w:tr>
      <w:tr w:rsidR="00791098" w:rsidRPr="00F01628" w14:paraId="3D81FED4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DE8B8DC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sz w:val="24"/>
                <w:szCs w:val="24"/>
              </w:rPr>
              <w:t>Jednostki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7408B167" w14:textId="77777777" w:rsidR="00791098" w:rsidRPr="003C7057" w:rsidRDefault="00791098" w:rsidP="00247AAC">
            <w:pPr>
              <w:pStyle w:val="Tekstpodstawowy"/>
              <w:spacing w:after="0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Prędkość: m/s</w:t>
            </w:r>
          </w:p>
          <w:p w14:paraId="0C8AA253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color w:val="auto"/>
                <w:szCs w:val="24"/>
              </w:rPr>
              <w:t>Kierunek: stopień</w:t>
            </w:r>
          </w:p>
        </w:tc>
      </w:tr>
      <w:tr w:rsidR="00791098" w:rsidRPr="00F01628" w14:paraId="2B2D9C0B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F19D917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DAA2B88" w14:textId="77777777" w:rsidR="00791098" w:rsidRPr="00A10554" w:rsidRDefault="00791098" w:rsidP="00247AAC">
            <w:pPr>
              <w:pStyle w:val="Tekstpodstawowy"/>
              <w:spacing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Prędkość co najmniej od 0 do 50 m/s</w:t>
            </w:r>
          </w:p>
          <w:p w14:paraId="6454FAFD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Kierunek </w:t>
            </w:r>
            <w:r w:rsidRPr="00A10554">
              <w:rPr>
                <w:szCs w:val="24"/>
              </w:rPr>
              <w:t>0</w:t>
            </w:r>
            <w:r>
              <w:rPr>
                <w:szCs w:val="24"/>
              </w:rPr>
              <w:t>÷</w:t>
            </w:r>
            <w:r w:rsidRPr="00A10554">
              <w:rPr>
                <w:szCs w:val="24"/>
              </w:rPr>
              <w:t>360°</w:t>
            </w:r>
          </w:p>
        </w:tc>
      </w:tr>
      <w:tr w:rsidR="00791098" w:rsidRPr="00F01628" w14:paraId="1C81B51F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FC82D90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Dokładność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0D889F71" w14:textId="77777777" w:rsidR="00791098" w:rsidRDefault="00791098" w:rsidP="00247AAC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A10554">
              <w:rPr>
                <w:szCs w:val="24"/>
              </w:rPr>
              <w:t xml:space="preserve">Prędkość: </w:t>
            </w:r>
          </w:p>
          <w:p w14:paraId="4D597962" w14:textId="77777777" w:rsidR="00791098" w:rsidRPr="00FF6C8F" w:rsidRDefault="00791098" w:rsidP="00247AA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left"/>
              <w:rPr>
                <w:szCs w:val="24"/>
              </w:rPr>
            </w:pPr>
            <w:r w:rsidRPr="00FF6C8F">
              <w:rPr>
                <w:szCs w:val="24"/>
              </w:rPr>
              <w:t>w zakresie od 0 do 35</w:t>
            </w:r>
            <w:r>
              <w:rPr>
                <w:szCs w:val="24"/>
              </w:rPr>
              <w:t xml:space="preserve"> </w:t>
            </w:r>
            <w:r w:rsidRPr="00FF6C8F">
              <w:rPr>
                <w:szCs w:val="24"/>
              </w:rPr>
              <w:t xml:space="preserve">m/s </w:t>
            </w:r>
            <w:r>
              <w:rPr>
                <w:szCs w:val="24"/>
              </w:rPr>
              <w:t>–</w:t>
            </w:r>
            <w:r w:rsidRPr="00FF6C8F">
              <w:rPr>
                <w:szCs w:val="24"/>
              </w:rPr>
              <w:t xml:space="preserve"> min. ±0,3 m/s lub 3%, </w:t>
            </w:r>
          </w:p>
          <w:p w14:paraId="7C927B71" w14:textId="77777777" w:rsidR="00791098" w:rsidRPr="00FF6C8F" w:rsidRDefault="00791098" w:rsidP="00247AA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left"/>
              <w:rPr>
                <w:szCs w:val="24"/>
              </w:rPr>
            </w:pPr>
            <w:r w:rsidRPr="00FF6C8F">
              <w:rPr>
                <w:szCs w:val="24"/>
              </w:rPr>
              <w:t xml:space="preserve">w zakresie od 35 do 50 m/s </w:t>
            </w:r>
            <w:r>
              <w:rPr>
                <w:szCs w:val="24"/>
              </w:rPr>
              <w:t>–</w:t>
            </w:r>
            <w:r w:rsidRPr="00FF6C8F">
              <w:rPr>
                <w:szCs w:val="24"/>
              </w:rPr>
              <w:t xml:space="preserve"> min. 5%</w:t>
            </w:r>
          </w:p>
          <w:p w14:paraId="1A968BE6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Kierunek: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>3%</w:t>
            </w:r>
          </w:p>
        </w:tc>
      </w:tr>
      <w:tr w:rsidR="00791098" w:rsidRPr="00F01628" w14:paraId="6B95D9D7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70E3370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Rozdzielczość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36D82CF9" w14:textId="77777777"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 xml:space="preserve">Prędkość: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 xml:space="preserve"> 0,1 m/s </w:t>
            </w:r>
          </w:p>
          <w:p w14:paraId="1E422BC5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Kierunek: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>1°</w:t>
            </w:r>
          </w:p>
        </w:tc>
      </w:tr>
      <w:tr w:rsidR="00791098" w:rsidRPr="00F01628" w14:paraId="6521507F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ED2EC90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lastRenderedPageBreak/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CCA3A0A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</w:tc>
      </w:tr>
      <w:tr w:rsidR="00791098" w:rsidRPr="00F01628" w14:paraId="093513F9" w14:textId="77777777" w:rsidTr="00791098">
        <w:trPr>
          <w:trHeight w:val="736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A1A0130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Ogrzewanie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2AC5B3D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>Przetwornik pomiarowy musi być ogrzewany w celu poprawnej pracy w warunkach zimowych.</w:t>
            </w:r>
          </w:p>
        </w:tc>
      </w:tr>
      <w:tr w:rsidR="00791098" w:rsidRPr="00F01628" w14:paraId="7DA939B4" w14:textId="77777777" w:rsidTr="005F05AC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544BDEA5" w14:textId="77777777" w:rsidR="00791098" w:rsidRPr="00F01628" w:rsidRDefault="00791098" w:rsidP="005F05AC">
            <w:pPr>
              <w:jc w:val="left"/>
              <w:rPr>
                <w:bCs w:val="0"/>
                <w:color w:val="auto"/>
                <w:szCs w:val="24"/>
              </w:rPr>
            </w:pPr>
            <w:r w:rsidRPr="00247AAC">
              <w:rPr>
                <w:b/>
                <w:bCs w:val="0"/>
                <w:szCs w:val="24"/>
              </w:rPr>
              <w:t>Czujnik temperatury i wilgotności względnej</w:t>
            </w:r>
          </w:p>
        </w:tc>
      </w:tr>
      <w:tr w:rsidR="00791098" w:rsidRPr="00F01628" w14:paraId="12618581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0179F75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054D2918" w14:textId="77777777"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 xml:space="preserve">Temperatura: co najmniej </w:t>
            </w:r>
            <w:r w:rsidRPr="00A10554">
              <w:rPr>
                <w:bCs w:val="0"/>
                <w:szCs w:val="24"/>
              </w:rPr>
              <w:t xml:space="preserve">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  <w:p w14:paraId="7C2E2C2C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>Wilgotność: 0 – 100% RH</w:t>
            </w:r>
          </w:p>
        </w:tc>
      </w:tr>
      <w:tr w:rsidR="00791098" w:rsidRPr="00F01628" w14:paraId="0B7B0327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24B6088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Dokładność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0C323DC" w14:textId="77777777"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 xml:space="preserve">Temperatura: </w:t>
            </w:r>
            <w:r>
              <w:rPr>
                <w:color w:val="auto"/>
                <w:szCs w:val="24"/>
              </w:rPr>
              <w:t>przy 20°C ±0.3</w:t>
            </w:r>
            <w:r w:rsidRPr="00A10554">
              <w:rPr>
                <w:color w:val="auto"/>
                <w:szCs w:val="24"/>
              </w:rPr>
              <w:t>°C</w:t>
            </w:r>
          </w:p>
          <w:p w14:paraId="3943A2B0" w14:textId="77777777" w:rsidR="00791098" w:rsidRPr="00A10554" w:rsidRDefault="00791098" w:rsidP="00247A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10554">
              <w:rPr>
                <w:szCs w:val="24"/>
              </w:rPr>
              <w:t xml:space="preserve">Wilgotność: </w:t>
            </w:r>
            <w:r w:rsidRPr="00A10554">
              <w:rPr>
                <w:szCs w:val="24"/>
              </w:rPr>
              <w:sym w:font="Symbol" w:char="F0A3"/>
            </w:r>
            <w:r>
              <w:rPr>
                <w:szCs w:val="24"/>
              </w:rPr>
              <w:t>3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RH przy 0÷90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</w:t>
            </w:r>
            <w:r w:rsidRPr="00A10554">
              <w:rPr>
                <w:szCs w:val="24"/>
              </w:rPr>
              <w:t>RH</w:t>
            </w:r>
          </w:p>
          <w:p w14:paraId="72C505C3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A10554">
              <w:rPr>
                <w:szCs w:val="24"/>
              </w:rPr>
              <w:sym w:font="Symbol" w:char="F0A3"/>
            </w:r>
            <w:r>
              <w:rPr>
                <w:szCs w:val="24"/>
              </w:rPr>
              <w:t>5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RH przy 90÷100</w:t>
            </w:r>
            <w:r w:rsidRPr="00A10554">
              <w:rPr>
                <w:szCs w:val="24"/>
              </w:rPr>
              <w:t>%</w:t>
            </w:r>
            <w:r>
              <w:rPr>
                <w:szCs w:val="24"/>
              </w:rPr>
              <w:t xml:space="preserve"> </w:t>
            </w:r>
            <w:r w:rsidRPr="00A10554">
              <w:rPr>
                <w:szCs w:val="24"/>
              </w:rPr>
              <w:t>RH</w:t>
            </w:r>
          </w:p>
        </w:tc>
      </w:tr>
      <w:tr w:rsidR="00791098" w:rsidRPr="00F01628" w14:paraId="7130D8EE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934A5A5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Rozdzielczość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3C36071" w14:textId="77777777" w:rsidR="00791098" w:rsidRPr="00A10554" w:rsidRDefault="00791098" w:rsidP="00247AAC">
            <w:pPr>
              <w:rPr>
                <w:szCs w:val="24"/>
              </w:rPr>
            </w:pPr>
            <w:r w:rsidRPr="00A10554">
              <w:rPr>
                <w:szCs w:val="24"/>
              </w:rPr>
              <w:t>Temperatura: 0,1°C</w:t>
            </w:r>
          </w:p>
          <w:p w14:paraId="39579D0D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Wilgotność: </w:t>
            </w:r>
            <w:r w:rsidRPr="00A10554">
              <w:rPr>
                <w:szCs w:val="24"/>
              </w:rPr>
              <w:sym w:font="Symbol" w:char="F0A3"/>
            </w:r>
            <w:r w:rsidRPr="00A10554">
              <w:rPr>
                <w:szCs w:val="24"/>
              </w:rPr>
              <w:t>1% RH</w:t>
            </w:r>
          </w:p>
        </w:tc>
      </w:tr>
      <w:tr w:rsidR="00791098" w:rsidRPr="00F01628" w14:paraId="0D16E07C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79FF2129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BA82817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 w:rsidRPr="00A10554">
              <w:rPr>
                <w:bCs w:val="0"/>
                <w:szCs w:val="24"/>
              </w:rPr>
              <w:t>50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</w:t>
            </w:r>
            <w:r w:rsidRPr="00A10554">
              <w:rPr>
                <w:bCs w:val="0"/>
                <w:szCs w:val="24"/>
              </w:rPr>
              <w:t>60</w:t>
            </w:r>
            <w:r w:rsidRPr="00A10554">
              <w:rPr>
                <w:szCs w:val="24"/>
              </w:rPr>
              <w:t>°C</w:t>
            </w:r>
          </w:p>
        </w:tc>
      </w:tr>
      <w:tr w:rsidR="00791098" w:rsidRPr="00F01628" w14:paraId="477FD1D5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1AEBEA0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Obudowa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67D3E833" w14:textId="77777777" w:rsidR="00791098" w:rsidRPr="00F01628" w:rsidRDefault="00791098" w:rsidP="00601CED">
            <w:pPr>
              <w:pStyle w:val="Tekstpodstawowy"/>
              <w:spacing w:after="0"/>
              <w:rPr>
                <w:bCs w:val="0"/>
                <w:color w:val="auto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Obudowa zewnętrzna musi zapewnić wymuszoną (mechaniczną) wentylację czujników oraz ich ochronę przed promieniowaniem słonecznym. Materiały wykorzystane do jej budowy i instalacji muszą być odporne na warunki</w:t>
            </w:r>
            <w:r w:rsidRPr="00A10554">
              <w:rPr>
                <w:rFonts w:ascii="Times New Roman" w:eastAsia="MS Mincho" w:hAnsi="Times New Roman"/>
                <w:bCs w:val="0"/>
                <w:sz w:val="24"/>
                <w:szCs w:val="24"/>
              </w:rPr>
              <w:t xml:space="preserve"> atmosferyczne.</w:t>
            </w:r>
          </w:p>
        </w:tc>
      </w:tr>
      <w:tr w:rsidR="00791098" w:rsidRPr="00F01628" w14:paraId="0CD1FBF4" w14:textId="77777777" w:rsidTr="00601CED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0DA1A209" w14:textId="77777777" w:rsidR="00791098" w:rsidRPr="00A54FC7" w:rsidRDefault="00791098" w:rsidP="00601CED">
            <w:pPr>
              <w:jc w:val="left"/>
              <w:rPr>
                <w:bCs w:val="0"/>
                <w:color w:val="auto"/>
                <w:szCs w:val="24"/>
              </w:rPr>
            </w:pPr>
            <w:r w:rsidRPr="00A54FC7">
              <w:rPr>
                <w:b/>
                <w:bCs w:val="0"/>
                <w:szCs w:val="24"/>
              </w:rPr>
              <w:t>Czujnik ciśnienia atmosferycznego</w:t>
            </w:r>
          </w:p>
        </w:tc>
      </w:tr>
      <w:tr w:rsidR="00791098" w:rsidRPr="00F01628" w14:paraId="5B559EB6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EBB7A75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Zakres pomiarowy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955CAE6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Co najmniej od 600 do 1100 </w:t>
            </w:r>
            <w:proofErr w:type="spellStart"/>
            <w:r w:rsidRPr="00A10554">
              <w:rPr>
                <w:szCs w:val="24"/>
              </w:rPr>
              <w:t>hPa</w:t>
            </w:r>
            <w:proofErr w:type="spellEnd"/>
          </w:p>
        </w:tc>
      </w:tr>
      <w:tr w:rsidR="00791098" w:rsidRPr="00F01628" w14:paraId="1CF92CB0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7EB69F0E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Dokładność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3F00CE5A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 xml:space="preserve">±1,5 </w:t>
            </w:r>
            <w:proofErr w:type="spellStart"/>
            <w:r w:rsidRPr="00A10554">
              <w:rPr>
                <w:szCs w:val="24"/>
              </w:rPr>
              <w:t>hPa</w:t>
            </w:r>
            <w:proofErr w:type="spellEnd"/>
          </w:p>
        </w:tc>
      </w:tr>
      <w:tr w:rsidR="00791098" w:rsidRPr="00F01628" w14:paraId="3959C2AF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E34152F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Rozdzielczość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F1D7D39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color w:val="auto"/>
                <w:szCs w:val="24"/>
              </w:rPr>
              <w:sym w:font="Symbol" w:char="F0A3"/>
            </w:r>
            <w:r w:rsidRPr="00A10554">
              <w:rPr>
                <w:color w:val="auto"/>
                <w:szCs w:val="24"/>
              </w:rPr>
              <w:t xml:space="preserve">1 </w:t>
            </w:r>
            <w:proofErr w:type="spellStart"/>
            <w:r w:rsidRPr="00A10554">
              <w:rPr>
                <w:color w:val="auto"/>
                <w:szCs w:val="24"/>
              </w:rPr>
              <w:t>hPa</w:t>
            </w:r>
            <w:proofErr w:type="spellEnd"/>
          </w:p>
        </w:tc>
      </w:tr>
      <w:tr w:rsidR="00791098" w:rsidRPr="00F01628" w14:paraId="39AE31EF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38E7849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BA951A6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</w:tc>
      </w:tr>
      <w:tr w:rsidR="00791098" w:rsidRPr="00F01628" w14:paraId="5F950485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6ABE757D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sz w:val="24"/>
                <w:szCs w:val="24"/>
              </w:rPr>
              <w:t>Jednostki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7AE2A2F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proofErr w:type="spellStart"/>
            <w:r w:rsidRPr="00A10554">
              <w:rPr>
                <w:bCs w:val="0"/>
                <w:szCs w:val="24"/>
              </w:rPr>
              <w:t>hPa</w:t>
            </w:r>
            <w:proofErr w:type="spellEnd"/>
          </w:p>
        </w:tc>
      </w:tr>
      <w:tr w:rsidR="00791098" w:rsidRPr="00F01628" w14:paraId="620100C9" w14:textId="77777777" w:rsidTr="00A04A8F">
        <w:trPr>
          <w:trHeight w:val="454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2DB4C0A" w14:textId="77777777" w:rsidR="00791098" w:rsidRPr="00F01628" w:rsidRDefault="00791098" w:rsidP="00A04A8F">
            <w:pPr>
              <w:jc w:val="left"/>
              <w:rPr>
                <w:bCs w:val="0"/>
                <w:color w:val="auto"/>
                <w:szCs w:val="24"/>
              </w:rPr>
            </w:pPr>
            <w:r w:rsidRPr="00D428F1">
              <w:rPr>
                <w:b/>
                <w:bCs w:val="0"/>
                <w:i/>
                <w:szCs w:val="24"/>
              </w:rPr>
              <w:t>Maszt meteorologiczny</w:t>
            </w:r>
          </w:p>
        </w:tc>
      </w:tr>
      <w:tr w:rsidR="00641581" w:rsidRPr="00F01628" w14:paraId="4D43B15D" w14:textId="77777777" w:rsidTr="00641581">
        <w:trPr>
          <w:trHeight w:val="240"/>
        </w:trPr>
        <w:tc>
          <w:tcPr>
            <w:tcW w:w="945" w:type="pct"/>
            <w:shd w:val="clear" w:color="auto" w:fill="auto"/>
            <w:tcMar>
              <w:top w:w="113" w:type="dxa"/>
              <w:bottom w:w="113" w:type="dxa"/>
            </w:tcMar>
          </w:tcPr>
          <w:p w14:paraId="5B880140" w14:textId="77777777" w:rsidR="00641581" w:rsidRPr="00641581" w:rsidRDefault="00641581" w:rsidP="00247AAC">
            <w:pPr>
              <w:jc w:val="left"/>
              <w:rPr>
                <w:szCs w:val="24"/>
              </w:rPr>
            </w:pPr>
            <w:r w:rsidRPr="00641581">
              <w:rPr>
                <w:szCs w:val="24"/>
              </w:rPr>
              <w:t>Ogólne</w:t>
            </w:r>
          </w:p>
        </w:tc>
        <w:tc>
          <w:tcPr>
            <w:tcW w:w="4055" w:type="pct"/>
            <w:shd w:val="clear" w:color="auto" w:fill="auto"/>
            <w:tcMar>
              <w:top w:w="113" w:type="dxa"/>
              <w:bottom w:w="113" w:type="dxa"/>
            </w:tcMar>
          </w:tcPr>
          <w:p w14:paraId="0BA4D31D" w14:textId="77777777" w:rsidR="00641581" w:rsidRPr="00791098" w:rsidRDefault="00641581" w:rsidP="00247AAC">
            <w:pPr>
              <w:rPr>
                <w:bCs w:val="0"/>
                <w:color w:val="auto"/>
                <w:szCs w:val="24"/>
                <w:highlight w:val="yellow"/>
              </w:rPr>
            </w:pPr>
            <w:r w:rsidRPr="00641581">
              <w:rPr>
                <w:bCs w:val="0"/>
                <w:color w:val="auto"/>
                <w:szCs w:val="24"/>
              </w:rPr>
              <w:t>Fabrycznie nowy z produkcji seryjnej, rok produkcji nie wcześniej niż 2021 r.</w:t>
            </w:r>
          </w:p>
        </w:tc>
      </w:tr>
      <w:tr w:rsidR="00791098" w:rsidRPr="00F01628" w14:paraId="23442E33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8F80E9C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lastRenderedPageBreak/>
              <w:t>Wysokość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1F5537A3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szCs w:val="24"/>
              </w:rPr>
              <w:t>Pozwalająca na zamontowanie czujników na wysokości 5 m n.p.t.</w:t>
            </w:r>
          </w:p>
        </w:tc>
      </w:tr>
      <w:tr w:rsidR="00791098" w:rsidRPr="00F01628" w14:paraId="09A87025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09AD2708" w14:textId="77777777" w:rsidR="00791098" w:rsidRPr="00A10554" w:rsidRDefault="00791098" w:rsidP="00247AAC">
            <w:pPr>
              <w:pStyle w:val="Tekstpodstawowy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Konstrukcja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2BF22D7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color w:val="auto"/>
                <w:szCs w:val="24"/>
              </w:rPr>
              <w:t>Maszt teleskopowy, rozkładany</w:t>
            </w:r>
            <w:r w:rsidRPr="003E2E22">
              <w:rPr>
                <w:color w:val="auto"/>
                <w:szCs w:val="24"/>
              </w:rPr>
              <w:t xml:space="preserve">, pneumatyczny, wykonany z aluminium, o maksymalnej długości po złożeniu 1,5 m, składający się z nie więcej niż 6 elementów. Minimalna nośność masztu 3 kg. </w:t>
            </w:r>
            <w:r>
              <w:rPr>
                <w:color w:val="auto"/>
                <w:szCs w:val="24"/>
              </w:rPr>
              <w:t>Maszt zamontowany na zewnątrz do tylnej</w:t>
            </w:r>
            <w:r w:rsidRPr="003E2E22">
              <w:rPr>
                <w:color w:val="auto"/>
                <w:szCs w:val="24"/>
              </w:rPr>
              <w:t xml:space="preserve"> konstrukcji nośnej kontenera pomiarowego.</w:t>
            </w:r>
            <w:r>
              <w:rPr>
                <w:color w:val="auto"/>
                <w:szCs w:val="24"/>
              </w:rPr>
              <w:t xml:space="preserve"> Maszt po złożeniu nie powinien wystawać ponad krawędź dachu.</w:t>
            </w:r>
          </w:p>
        </w:tc>
      </w:tr>
      <w:tr w:rsidR="00791098" w:rsidRPr="00F01628" w14:paraId="23F3F2AF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1DE2ED59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Temperatura pracy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25B821C3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Co najmniej od </w:t>
            </w:r>
            <w:r>
              <w:rPr>
                <w:szCs w:val="24"/>
              </w:rPr>
              <w:t>–</w:t>
            </w:r>
            <w:r>
              <w:rPr>
                <w:bCs w:val="0"/>
                <w:szCs w:val="24"/>
              </w:rPr>
              <w:t>4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  <w:r w:rsidRPr="00A10554">
              <w:rPr>
                <w:bCs w:val="0"/>
                <w:szCs w:val="24"/>
              </w:rPr>
              <w:t xml:space="preserve"> do </w:t>
            </w:r>
            <w:r>
              <w:rPr>
                <w:bCs w:val="0"/>
                <w:szCs w:val="24"/>
              </w:rPr>
              <w:t>+5</w:t>
            </w:r>
            <w:r w:rsidRPr="00A10554">
              <w:rPr>
                <w:bCs w:val="0"/>
                <w:szCs w:val="24"/>
              </w:rPr>
              <w:t>0</w:t>
            </w:r>
            <w:r w:rsidRPr="00A10554">
              <w:rPr>
                <w:szCs w:val="24"/>
              </w:rPr>
              <w:t>°C</w:t>
            </w:r>
          </w:p>
        </w:tc>
      </w:tr>
      <w:tr w:rsidR="00641581" w:rsidRPr="00F01628" w14:paraId="24683ECE" w14:textId="77777777" w:rsidTr="00641581">
        <w:trPr>
          <w:trHeight w:val="240"/>
        </w:trPr>
        <w:tc>
          <w:tcPr>
            <w:tcW w:w="5000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0B1E9EE" w14:textId="77777777" w:rsidR="00641581" w:rsidRPr="00F01628" w:rsidRDefault="00641581" w:rsidP="00247AAC">
            <w:pPr>
              <w:rPr>
                <w:bCs w:val="0"/>
                <w:color w:val="auto"/>
                <w:szCs w:val="24"/>
              </w:rPr>
            </w:pPr>
            <w:r w:rsidRPr="00A54FC7">
              <w:rPr>
                <w:b/>
                <w:bCs w:val="0"/>
                <w:szCs w:val="24"/>
              </w:rPr>
              <w:t>Podłączenie czujników</w:t>
            </w:r>
          </w:p>
        </w:tc>
      </w:tr>
      <w:tr w:rsidR="00791098" w:rsidRPr="00F01628" w14:paraId="457F1C4C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4E3E3B87" w14:textId="77777777" w:rsidR="00791098" w:rsidRPr="003E2E22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3E2E22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Podłączenie do </w:t>
            </w:r>
            <w:proofErr w:type="spellStart"/>
            <w:r w:rsidRPr="003E2E22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dataloggera</w:t>
            </w:r>
            <w:proofErr w:type="spellEnd"/>
            <w:r w:rsidRPr="003E2E22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447E89F4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3E2E22">
              <w:rPr>
                <w:bCs w:val="0"/>
                <w:color w:val="auto"/>
                <w:szCs w:val="24"/>
              </w:rPr>
              <w:t>P</w:t>
            </w:r>
            <w:r>
              <w:rPr>
                <w:bCs w:val="0"/>
                <w:color w:val="auto"/>
                <w:szCs w:val="24"/>
              </w:rPr>
              <w:t>odpięcie cyfrowe do systemu zbierania danych DAS.</w:t>
            </w:r>
          </w:p>
        </w:tc>
      </w:tr>
      <w:tr w:rsidR="00791098" w:rsidRPr="00F01628" w14:paraId="28D20D19" w14:textId="77777777" w:rsidTr="00791098">
        <w:trPr>
          <w:trHeight w:val="240"/>
        </w:trPr>
        <w:tc>
          <w:tcPr>
            <w:tcW w:w="945" w:type="pct"/>
            <w:tcMar>
              <w:top w:w="113" w:type="dxa"/>
              <w:bottom w:w="113" w:type="dxa"/>
            </w:tcMar>
          </w:tcPr>
          <w:p w14:paraId="386D7477" w14:textId="77777777" w:rsidR="00791098" w:rsidRPr="00A10554" w:rsidRDefault="00791098" w:rsidP="00247AAC">
            <w:pPr>
              <w:pStyle w:val="Tekstpodstawowy"/>
              <w:spacing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10554">
              <w:rPr>
                <w:rFonts w:ascii="Times New Roman" w:hAnsi="Times New Roman"/>
                <w:bCs w:val="0"/>
                <w:sz w:val="24"/>
                <w:szCs w:val="24"/>
              </w:rPr>
              <w:t>Kabel połączeniowy</w:t>
            </w:r>
          </w:p>
        </w:tc>
        <w:tc>
          <w:tcPr>
            <w:tcW w:w="4055" w:type="pct"/>
            <w:tcMar>
              <w:top w:w="113" w:type="dxa"/>
              <w:bottom w:w="113" w:type="dxa"/>
            </w:tcMar>
          </w:tcPr>
          <w:p w14:paraId="5A19BF70" w14:textId="77777777" w:rsidR="00791098" w:rsidRPr="00F01628" w:rsidRDefault="00791098" w:rsidP="00247AAC">
            <w:pPr>
              <w:rPr>
                <w:bCs w:val="0"/>
                <w:color w:val="auto"/>
                <w:szCs w:val="24"/>
              </w:rPr>
            </w:pPr>
            <w:r w:rsidRPr="00A10554">
              <w:rPr>
                <w:bCs w:val="0"/>
                <w:szCs w:val="24"/>
              </w:rPr>
              <w:t xml:space="preserve">Kabel ekranowany, przystosowany do długotrwałego użytku zewnętrznego. Materiały wykorzystane do jego budowy muszą zapewnić odporność na warunki atmosferyczne. Złącze przy czujniku wypełniające wymagania współczynnika ochrony IP65. </w:t>
            </w:r>
            <w:r>
              <w:rPr>
                <w:bCs w:val="0"/>
                <w:szCs w:val="24"/>
              </w:rPr>
              <w:t>D</w:t>
            </w:r>
            <w:r w:rsidRPr="00A10554">
              <w:rPr>
                <w:bCs w:val="0"/>
                <w:szCs w:val="24"/>
              </w:rPr>
              <w:t xml:space="preserve">ługość kabla umożliwiająca swobodne podpięcie czujników zamontowanych na maszcie 5 m n.p.t., do </w:t>
            </w:r>
            <w:proofErr w:type="spellStart"/>
            <w:r w:rsidRPr="00A10554">
              <w:rPr>
                <w:bCs w:val="0"/>
                <w:szCs w:val="24"/>
              </w:rPr>
              <w:t>dataloggera</w:t>
            </w:r>
            <w:proofErr w:type="spellEnd"/>
            <w:r w:rsidRPr="00A10554">
              <w:rPr>
                <w:bCs w:val="0"/>
                <w:szCs w:val="24"/>
              </w:rPr>
              <w:t xml:space="preserve"> znajdującego się w kontenerze pomiarowym.</w:t>
            </w:r>
          </w:p>
        </w:tc>
      </w:tr>
    </w:tbl>
    <w:p w14:paraId="1D4D30A8" w14:textId="77777777" w:rsidR="00F01628" w:rsidRPr="00F01628" w:rsidRDefault="00F01628" w:rsidP="00F01628"/>
    <w:p w14:paraId="355055D4" w14:textId="77777777" w:rsidR="00F01628" w:rsidRPr="00F01628" w:rsidRDefault="00F01628" w:rsidP="00F01628">
      <w:pPr>
        <w:spacing w:after="160" w:line="259" w:lineRule="auto"/>
        <w:jc w:val="left"/>
      </w:pPr>
    </w:p>
    <w:p w14:paraId="65F973B7" w14:textId="77777777" w:rsidR="002142D3" w:rsidRPr="002142D3" w:rsidRDefault="002142D3" w:rsidP="002142D3"/>
    <w:sectPr w:rsidR="002142D3" w:rsidRPr="0021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DB814" w16cex:dateUtc="2022-06-10T10:31:00Z"/>
  <w16cex:commentExtensible w16cex:durableId="264DBAD6" w16cex:dateUtc="2022-06-10T10:43:00Z"/>
  <w16cex:commentExtensible w16cex:durableId="264DB877" w16cex:dateUtc="2022-06-10T10:32:00Z"/>
  <w16cex:commentExtensible w16cex:durableId="264DB8BD" w16cex:dateUtc="2022-06-10T10:34:00Z"/>
  <w16cex:commentExtensible w16cex:durableId="264DBE59" w16cex:dateUtc="2022-06-10T10:58:00Z"/>
  <w16cex:commentExtensible w16cex:durableId="264DC187" w16cex:dateUtc="2022-06-10T11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88B76" w14:textId="77777777" w:rsidR="00580B36" w:rsidRDefault="00580B36" w:rsidP="00425A1E">
      <w:r>
        <w:separator/>
      </w:r>
    </w:p>
  </w:endnote>
  <w:endnote w:type="continuationSeparator" w:id="0">
    <w:p w14:paraId="1C8916D0" w14:textId="77777777" w:rsidR="00580B36" w:rsidRDefault="00580B36" w:rsidP="0042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8B4D0" w14:textId="77777777" w:rsidR="00580B36" w:rsidRDefault="00580B36" w:rsidP="00425A1E">
      <w:r>
        <w:separator/>
      </w:r>
    </w:p>
  </w:footnote>
  <w:footnote w:type="continuationSeparator" w:id="0">
    <w:p w14:paraId="25838945" w14:textId="77777777" w:rsidR="00580B36" w:rsidRDefault="00580B36" w:rsidP="0042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15D"/>
    <w:multiLevelType w:val="hybridMultilevel"/>
    <w:tmpl w:val="D472D1D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FA5"/>
    <w:multiLevelType w:val="hybridMultilevel"/>
    <w:tmpl w:val="A10E2B32"/>
    <w:lvl w:ilvl="0" w:tplc="A1829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340"/>
    <w:multiLevelType w:val="hybridMultilevel"/>
    <w:tmpl w:val="18F6DE64"/>
    <w:lvl w:ilvl="0" w:tplc="A1829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34DA7"/>
    <w:multiLevelType w:val="hybridMultilevel"/>
    <w:tmpl w:val="A5AAD7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630C"/>
    <w:multiLevelType w:val="hybridMultilevel"/>
    <w:tmpl w:val="DE90EAB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245F"/>
    <w:multiLevelType w:val="hybridMultilevel"/>
    <w:tmpl w:val="70F854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1B52"/>
    <w:multiLevelType w:val="hybridMultilevel"/>
    <w:tmpl w:val="385A4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F7085"/>
    <w:multiLevelType w:val="hybridMultilevel"/>
    <w:tmpl w:val="2E889DBC"/>
    <w:lvl w:ilvl="0" w:tplc="74F42BD2">
      <w:start w:val="1"/>
      <w:numFmt w:val="bullet"/>
      <w:lvlText w:val="-"/>
      <w:lvlJc w:val="left"/>
      <w:pPr>
        <w:ind w:left="116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8" w15:restartNumberingAfterBreak="0">
    <w:nsid w:val="391766C1"/>
    <w:multiLevelType w:val="hybridMultilevel"/>
    <w:tmpl w:val="37400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2613"/>
    <w:multiLevelType w:val="hybridMultilevel"/>
    <w:tmpl w:val="127A5816"/>
    <w:lvl w:ilvl="0" w:tplc="E15C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308A"/>
    <w:multiLevelType w:val="hybridMultilevel"/>
    <w:tmpl w:val="53E4B0C4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115F9"/>
    <w:multiLevelType w:val="hybridMultilevel"/>
    <w:tmpl w:val="5226D0DA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40DEE"/>
    <w:multiLevelType w:val="hybridMultilevel"/>
    <w:tmpl w:val="D56E5310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241A9"/>
    <w:multiLevelType w:val="hybridMultilevel"/>
    <w:tmpl w:val="44ACF4A6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01863"/>
    <w:multiLevelType w:val="hybridMultilevel"/>
    <w:tmpl w:val="5EF65E2A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70412"/>
    <w:multiLevelType w:val="hybridMultilevel"/>
    <w:tmpl w:val="C14AA7A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A61E4"/>
    <w:multiLevelType w:val="hybridMultilevel"/>
    <w:tmpl w:val="C0F290CE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7418B"/>
    <w:multiLevelType w:val="hybridMultilevel"/>
    <w:tmpl w:val="F9D065E8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071A3"/>
    <w:multiLevelType w:val="hybridMultilevel"/>
    <w:tmpl w:val="B7DC13E6"/>
    <w:lvl w:ilvl="0" w:tplc="A1829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B3D5C"/>
    <w:multiLevelType w:val="hybridMultilevel"/>
    <w:tmpl w:val="0D000604"/>
    <w:lvl w:ilvl="0" w:tplc="DC5C3E4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09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4F67B1"/>
    <w:multiLevelType w:val="hybridMultilevel"/>
    <w:tmpl w:val="1720999E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067B1"/>
    <w:multiLevelType w:val="hybridMultilevel"/>
    <w:tmpl w:val="B7967DB4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64B5E"/>
    <w:multiLevelType w:val="hybridMultilevel"/>
    <w:tmpl w:val="DB32AB4C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531D9"/>
    <w:multiLevelType w:val="hybridMultilevel"/>
    <w:tmpl w:val="76866042"/>
    <w:lvl w:ilvl="0" w:tplc="74F42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16"/>
  </w:num>
  <w:num w:numId="7">
    <w:abstractNumId w:val="11"/>
  </w:num>
  <w:num w:numId="8">
    <w:abstractNumId w:val="13"/>
  </w:num>
  <w:num w:numId="9">
    <w:abstractNumId w:val="23"/>
  </w:num>
  <w:num w:numId="10">
    <w:abstractNumId w:val="21"/>
  </w:num>
  <w:num w:numId="11">
    <w:abstractNumId w:val="15"/>
  </w:num>
  <w:num w:numId="12">
    <w:abstractNumId w:val="17"/>
  </w:num>
  <w:num w:numId="13">
    <w:abstractNumId w:val="22"/>
  </w:num>
  <w:num w:numId="14">
    <w:abstractNumId w:val="7"/>
  </w:num>
  <w:num w:numId="15">
    <w:abstractNumId w:val="0"/>
  </w:num>
  <w:num w:numId="16">
    <w:abstractNumId w:val="20"/>
  </w:num>
  <w:num w:numId="17">
    <w:abstractNumId w:val="8"/>
  </w:num>
  <w:num w:numId="18">
    <w:abstractNumId w:val="5"/>
  </w:num>
  <w:num w:numId="19">
    <w:abstractNumId w:val="6"/>
  </w:num>
  <w:num w:numId="20">
    <w:abstractNumId w:val="3"/>
  </w:num>
  <w:num w:numId="21">
    <w:abstractNumId w:val="1"/>
  </w:num>
  <w:num w:numId="22">
    <w:abstractNumId w:val="2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CE"/>
    <w:rsid w:val="000112B0"/>
    <w:rsid w:val="00027EA5"/>
    <w:rsid w:val="00035C06"/>
    <w:rsid w:val="000411F7"/>
    <w:rsid w:val="00056FBB"/>
    <w:rsid w:val="000802BA"/>
    <w:rsid w:val="00092516"/>
    <w:rsid w:val="00096786"/>
    <w:rsid w:val="000A262E"/>
    <w:rsid w:val="000A3A42"/>
    <w:rsid w:val="000A406A"/>
    <w:rsid w:val="000B7504"/>
    <w:rsid w:val="000D5460"/>
    <w:rsid w:val="00113274"/>
    <w:rsid w:val="00124709"/>
    <w:rsid w:val="001439F0"/>
    <w:rsid w:val="00145188"/>
    <w:rsid w:val="00145BDD"/>
    <w:rsid w:val="00177EDD"/>
    <w:rsid w:val="00194948"/>
    <w:rsid w:val="001E565D"/>
    <w:rsid w:val="00212779"/>
    <w:rsid w:val="002142D3"/>
    <w:rsid w:val="0022173A"/>
    <w:rsid w:val="002362C4"/>
    <w:rsid w:val="00237D62"/>
    <w:rsid w:val="00247AAC"/>
    <w:rsid w:val="002558E9"/>
    <w:rsid w:val="00282B7A"/>
    <w:rsid w:val="002A41A1"/>
    <w:rsid w:val="002C2BA8"/>
    <w:rsid w:val="002D69D0"/>
    <w:rsid w:val="002E0DD8"/>
    <w:rsid w:val="002E2315"/>
    <w:rsid w:val="002E3E0C"/>
    <w:rsid w:val="002F1DEA"/>
    <w:rsid w:val="00304C49"/>
    <w:rsid w:val="0030695F"/>
    <w:rsid w:val="00316B4D"/>
    <w:rsid w:val="0032158D"/>
    <w:rsid w:val="00321B9A"/>
    <w:rsid w:val="00322DA5"/>
    <w:rsid w:val="0034137C"/>
    <w:rsid w:val="00350FEF"/>
    <w:rsid w:val="00377971"/>
    <w:rsid w:val="003848A5"/>
    <w:rsid w:val="003C1573"/>
    <w:rsid w:val="003E05C6"/>
    <w:rsid w:val="003E4F0F"/>
    <w:rsid w:val="003F2A58"/>
    <w:rsid w:val="00400070"/>
    <w:rsid w:val="00424B32"/>
    <w:rsid w:val="00425A1E"/>
    <w:rsid w:val="00431A9C"/>
    <w:rsid w:val="00433586"/>
    <w:rsid w:val="00440D9B"/>
    <w:rsid w:val="00441697"/>
    <w:rsid w:val="00450633"/>
    <w:rsid w:val="00451BC9"/>
    <w:rsid w:val="00456AA5"/>
    <w:rsid w:val="00461D19"/>
    <w:rsid w:val="00467BFC"/>
    <w:rsid w:val="00485BD1"/>
    <w:rsid w:val="00487F76"/>
    <w:rsid w:val="0049692B"/>
    <w:rsid w:val="004A72DC"/>
    <w:rsid w:val="004B29A2"/>
    <w:rsid w:val="004C1D03"/>
    <w:rsid w:val="004C6CA9"/>
    <w:rsid w:val="004D3EA6"/>
    <w:rsid w:val="004E1134"/>
    <w:rsid w:val="004E4C8E"/>
    <w:rsid w:val="004E612E"/>
    <w:rsid w:val="004E647C"/>
    <w:rsid w:val="00520A7E"/>
    <w:rsid w:val="0052224C"/>
    <w:rsid w:val="00530732"/>
    <w:rsid w:val="00531F87"/>
    <w:rsid w:val="0057367E"/>
    <w:rsid w:val="00574D00"/>
    <w:rsid w:val="00580B36"/>
    <w:rsid w:val="00586313"/>
    <w:rsid w:val="00586AA1"/>
    <w:rsid w:val="005A485E"/>
    <w:rsid w:val="005D5AF3"/>
    <w:rsid w:val="005E707C"/>
    <w:rsid w:val="005F05AC"/>
    <w:rsid w:val="005F4273"/>
    <w:rsid w:val="00601CED"/>
    <w:rsid w:val="00605E71"/>
    <w:rsid w:val="00615CC2"/>
    <w:rsid w:val="00617397"/>
    <w:rsid w:val="006301DA"/>
    <w:rsid w:val="00631AE1"/>
    <w:rsid w:val="006361C1"/>
    <w:rsid w:val="006403F9"/>
    <w:rsid w:val="0064079A"/>
    <w:rsid w:val="00641581"/>
    <w:rsid w:val="00654113"/>
    <w:rsid w:val="006626F5"/>
    <w:rsid w:val="00695031"/>
    <w:rsid w:val="00696219"/>
    <w:rsid w:val="006A284A"/>
    <w:rsid w:val="006A68F4"/>
    <w:rsid w:val="006C2560"/>
    <w:rsid w:val="006D5CE6"/>
    <w:rsid w:val="006F15B1"/>
    <w:rsid w:val="00705F8A"/>
    <w:rsid w:val="00750730"/>
    <w:rsid w:val="00754113"/>
    <w:rsid w:val="00757546"/>
    <w:rsid w:val="00781B30"/>
    <w:rsid w:val="00791098"/>
    <w:rsid w:val="00792A1D"/>
    <w:rsid w:val="007A6B34"/>
    <w:rsid w:val="007B5846"/>
    <w:rsid w:val="007C077E"/>
    <w:rsid w:val="007C45A2"/>
    <w:rsid w:val="007D1ADB"/>
    <w:rsid w:val="007E382C"/>
    <w:rsid w:val="007F062E"/>
    <w:rsid w:val="00807007"/>
    <w:rsid w:val="00823D0C"/>
    <w:rsid w:val="00830B10"/>
    <w:rsid w:val="00831547"/>
    <w:rsid w:val="00845A94"/>
    <w:rsid w:val="00871666"/>
    <w:rsid w:val="00876324"/>
    <w:rsid w:val="00877AD7"/>
    <w:rsid w:val="008A33D9"/>
    <w:rsid w:val="00903C45"/>
    <w:rsid w:val="00904AF0"/>
    <w:rsid w:val="0091110A"/>
    <w:rsid w:val="0091528C"/>
    <w:rsid w:val="009206CC"/>
    <w:rsid w:val="00931951"/>
    <w:rsid w:val="00936CDC"/>
    <w:rsid w:val="009406B1"/>
    <w:rsid w:val="009439B2"/>
    <w:rsid w:val="00956681"/>
    <w:rsid w:val="009653FC"/>
    <w:rsid w:val="00981FF2"/>
    <w:rsid w:val="009B33A4"/>
    <w:rsid w:val="009C490E"/>
    <w:rsid w:val="009C75C2"/>
    <w:rsid w:val="009D6034"/>
    <w:rsid w:val="009D6636"/>
    <w:rsid w:val="009D7511"/>
    <w:rsid w:val="009E439F"/>
    <w:rsid w:val="00A04A8F"/>
    <w:rsid w:val="00A10EBE"/>
    <w:rsid w:val="00A25ED3"/>
    <w:rsid w:val="00A31CC0"/>
    <w:rsid w:val="00A33504"/>
    <w:rsid w:val="00A54FC7"/>
    <w:rsid w:val="00A626EB"/>
    <w:rsid w:val="00A6297B"/>
    <w:rsid w:val="00A65728"/>
    <w:rsid w:val="00A83778"/>
    <w:rsid w:val="00A84B82"/>
    <w:rsid w:val="00A90914"/>
    <w:rsid w:val="00AA45E6"/>
    <w:rsid w:val="00AA5D6D"/>
    <w:rsid w:val="00AB079E"/>
    <w:rsid w:val="00AB0BFD"/>
    <w:rsid w:val="00AC7C46"/>
    <w:rsid w:val="00AD2C38"/>
    <w:rsid w:val="00AD445B"/>
    <w:rsid w:val="00AF363E"/>
    <w:rsid w:val="00B17836"/>
    <w:rsid w:val="00B179DC"/>
    <w:rsid w:val="00B17A11"/>
    <w:rsid w:val="00B23774"/>
    <w:rsid w:val="00B433BA"/>
    <w:rsid w:val="00B463AA"/>
    <w:rsid w:val="00B5035F"/>
    <w:rsid w:val="00B61F63"/>
    <w:rsid w:val="00B6386D"/>
    <w:rsid w:val="00B65714"/>
    <w:rsid w:val="00B67DF1"/>
    <w:rsid w:val="00B81E05"/>
    <w:rsid w:val="00BA0057"/>
    <w:rsid w:val="00BA748B"/>
    <w:rsid w:val="00BB08AA"/>
    <w:rsid w:val="00BD4C3A"/>
    <w:rsid w:val="00BD4EAF"/>
    <w:rsid w:val="00BD7552"/>
    <w:rsid w:val="00BE6710"/>
    <w:rsid w:val="00BE6F61"/>
    <w:rsid w:val="00BF53C7"/>
    <w:rsid w:val="00C01AD1"/>
    <w:rsid w:val="00C07440"/>
    <w:rsid w:val="00C122F1"/>
    <w:rsid w:val="00C14BF7"/>
    <w:rsid w:val="00C21F5F"/>
    <w:rsid w:val="00C30F44"/>
    <w:rsid w:val="00C51EB9"/>
    <w:rsid w:val="00C54A6F"/>
    <w:rsid w:val="00C62E87"/>
    <w:rsid w:val="00C8098B"/>
    <w:rsid w:val="00C9491E"/>
    <w:rsid w:val="00CA2829"/>
    <w:rsid w:val="00CB77E0"/>
    <w:rsid w:val="00CC0CFF"/>
    <w:rsid w:val="00CC40C5"/>
    <w:rsid w:val="00CC4355"/>
    <w:rsid w:val="00CE0582"/>
    <w:rsid w:val="00D02268"/>
    <w:rsid w:val="00D02602"/>
    <w:rsid w:val="00D23297"/>
    <w:rsid w:val="00D23D3F"/>
    <w:rsid w:val="00D42E4F"/>
    <w:rsid w:val="00D445A4"/>
    <w:rsid w:val="00D4504F"/>
    <w:rsid w:val="00D707AC"/>
    <w:rsid w:val="00D72ED4"/>
    <w:rsid w:val="00D7778B"/>
    <w:rsid w:val="00D81B19"/>
    <w:rsid w:val="00D84736"/>
    <w:rsid w:val="00D9735E"/>
    <w:rsid w:val="00DA103E"/>
    <w:rsid w:val="00DB0196"/>
    <w:rsid w:val="00DB6975"/>
    <w:rsid w:val="00DC0243"/>
    <w:rsid w:val="00DD2FDE"/>
    <w:rsid w:val="00DD6735"/>
    <w:rsid w:val="00DD7D07"/>
    <w:rsid w:val="00DE1498"/>
    <w:rsid w:val="00DF4E9C"/>
    <w:rsid w:val="00DF50AA"/>
    <w:rsid w:val="00E05A4F"/>
    <w:rsid w:val="00E102C9"/>
    <w:rsid w:val="00E20DE7"/>
    <w:rsid w:val="00E24CCE"/>
    <w:rsid w:val="00E3475C"/>
    <w:rsid w:val="00E675F1"/>
    <w:rsid w:val="00E72395"/>
    <w:rsid w:val="00E9572B"/>
    <w:rsid w:val="00EA3505"/>
    <w:rsid w:val="00EA3BDF"/>
    <w:rsid w:val="00EA7D6C"/>
    <w:rsid w:val="00EB13CF"/>
    <w:rsid w:val="00EC243E"/>
    <w:rsid w:val="00ED4FC0"/>
    <w:rsid w:val="00EE09ED"/>
    <w:rsid w:val="00EE77B8"/>
    <w:rsid w:val="00F01628"/>
    <w:rsid w:val="00F27749"/>
    <w:rsid w:val="00F516E5"/>
    <w:rsid w:val="00F61301"/>
    <w:rsid w:val="00F71DDD"/>
    <w:rsid w:val="00F7438D"/>
    <w:rsid w:val="00FC189E"/>
    <w:rsid w:val="00FC661D"/>
    <w:rsid w:val="00FF2958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B89BC"/>
  <w15:chartTrackingRefBased/>
  <w15:docId w15:val="{A9823C15-544C-43E8-A2EB-60EE21F2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5CC2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4CCE"/>
    <w:pPr>
      <w:keepNext/>
      <w:spacing w:line="360" w:lineRule="auto"/>
      <w:outlineLvl w:val="3"/>
    </w:pPr>
    <w:rPr>
      <w:b/>
      <w:smallCaps/>
      <w:spacing w:val="2"/>
      <w:position w:val="2"/>
      <w:szCs w:val="24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E24CCE"/>
    <w:pPr>
      <w:spacing w:before="240" w:after="60"/>
      <w:outlineLvl w:val="5"/>
    </w:pPr>
    <w:rPr>
      <w:b/>
      <w:bCs w:val="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4CCE"/>
    <w:rPr>
      <w:rFonts w:ascii="Times New Roman" w:eastAsia="Times New Roman" w:hAnsi="Times New Roman" w:cs="Times New Roman"/>
      <w:b/>
      <w:bCs/>
      <w:smallCaps/>
      <w:color w:val="000000"/>
      <w:spacing w:val="2"/>
      <w:position w:val="2"/>
      <w:sz w:val="24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E24CCE"/>
    <w:rPr>
      <w:rFonts w:ascii="Times New Roman" w:eastAsia="Times New Roman" w:hAnsi="Times New Roman" w:cs="Times New Roman"/>
      <w:b/>
      <w:color w:val="000000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E24CCE"/>
    <w:pPr>
      <w:spacing w:after="120"/>
    </w:pPr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4CCE"/>
    <w:rPr>
      <w:rFonts w:ascii="Arial" w:eastAsia="Times New Roman" w:hAnsi="Arial" w:cs="Times New Roman"/>
      <w:bCs/>
      <w:color w:val="000000"/>
      <w:sz w:val="20"/>
      <w:szCs w:val="20"/>
      <w:lang w:val="x-none" w:eastAsia="pl-PL"/>
    </w:rPr>
  </w:style>
  <w:style w:type="paragraph" w:customStyle="1" w:styleId="ZnakZnakZnakZnak">
    <w:name w:val="Znak Znak Znak Znak"/>
    <w:basedOn w:val="Normalny"/>
    <w:rsid w:val="00E24CCE"/>
    <w:rPr>
      <w:bCs w:val="0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25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A1E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5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A1E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paragraph" w:styleId="Akapitzlist">
    <w:name w:val="List Paragraph"/>
    <w:aliases w:val="Sl_Akapit z listą,Akapit z listą1"/>
    <w:basedOn w:val="Normalny"/>
    <w:link w:val="AkapitzlistZnak"/>
    <w:uiPriority w:val="34"/>
    <w:qFormat/>
    <w:rsid w:val="00056FBB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9C49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490E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8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8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l_Akapit z listą Znak,Akapit z listą1 Znak"/>
    <w:link w:val="Akapitzlist"/>
    <w:uiPriority w:val="34"/>
    <w:rsid w:val="00247AAC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7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70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709"/>
    <w:rPr>
      <w:rFonts w:ascii="Times New Roman" w:eastAsia="Times New Roman" w:hAnsi="Times New Roman" w:cs="Times New Roman"/>
      <w:bCs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709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709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0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007"/>
    <w:rPr>
      <w:rFonts w:ascii="Segoe UI" w:eastAsia="Times New Roman" w:hAnsi="Segoe UI" w:cs="Segoe UI"/>
      <w:bCs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1AA0-871D-4633-A9CD-CF268BD0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2329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klriw</dc:creator>
  <cp:keywords/>
  <dc:description/>
  <cp:lastModifiedBy>Kozicka Anna</cp:lastModifiedBy>
  <cp:revision>11</cp:revision>
  <dcterms:created xsi:type="dcterms:W3CDTF">2022-06-10T10:31:00Z</dcterms:created>
  <dcterms:modified xsi:type="dcterms:W3CDTF">2022-06-27T08:33:00Z</dcterms:modified>
</cp:coreProperties>
</file>