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231D" w14:textId="77777777" w:rsidR="006C0BE8" w:rsidRPr="00476424" w:rsidRDefault="006C0BE8" w:rsidP="006C0BE8">
      <w:pPr>
        <w:jc w:val="center"/>
        <w:rPr>
          <w:rFonts w:cstheme="minorHAnsi"/>
          <w:b/>
          <w:bCs/>
          <w:sz w:val="24"/>
          <w:szCs w:val="24"/>
        </w:rPr>
      </w:pPr>
    </w:p>
    <w:p w14:paraId="701CEF11" w14:textId="1C10B9CD" w:rsidR="006C0BE8" w:rsidRPr="00476424" w:rsidRDefault="00F86D16" w:rsidP="006C0BE8">
      <w:pPr>
        <w:spacing w:after="0" w:line="360" w:lineRule="auto"/>
        <w:jc w:val="center"/>
        <w:rPr>
          <w:rFonts w:cstheme="minorHAnsi"/>
          <w:sz w:val="24"/>
          <w:szCs w:val="24"/>
        </w:rPr>
      </w:pPr>
      <w:r w:rsidRPr="00476424">
        <w:rPr>
          <w:rFonts w:cstheme="minorHAnsi"/>
          <w:sz w:val="24"/>
          <w:szCs w:val="24"/>
        </w:rPr>
        <w:t>ZP-A.271.81.258.2022</w:t>
      </w:r>
      <w:r w:rsidR="006C0BE8" w:rsidRPr="00476424">
        <w:rPr>
          <w:rFonts w:cstheme="minorHAnsi"/>
          <w:sz w:val="24"/>
          <w:szCs w:val="24"/>
        </w:rPr>
        <w:tab/>
      </w:r>
      <w:r w:rsidR="006C0BE8" w:rsidRPr="00476424">
        <w:rPr>
          <w:rFonts w:cstheme="minorHAnsi"/>
          <w:sz w:val="24"/>
          <w:szCs w:val="24"/>
        </w:rPr>
        <w:tab/>
      </w:r>
      <w:r w:rsidR="006C0BE8" w:rsidRPr="00476424">
        <w:rPr>
          <w:rFonts w:cstheme="minorHAnsi"/>
          <w:sz w:val="24"/>
          <w:szCs w:val="24"/>
        </w:rPr>
        <w:tab/>
      </w:r>
      <w:r w:rsidR="006C0BE8" w:rsidRPr="00476424">
        <w:rPr>
          <w:rFonts w:cstheme="minorHAnsi"/>
          <w:sz w:val="24"/>
          <w:szCs w:val="24"/>
        </w:rPr>
        <w:tab/>
      </w:r>
      <w:r w:rsidR="006C0BE8" w:rsidRPr="00476424">
        <w:rPr>
          <w:rFonts w:cstheme="minorHAnsi"/>
          <w:sz w:val="24"/>
          <w:szCs w:val="24"/>
        </w:rPr>
        <w:tab/>
      </w:r>
      <w:r w:rsidR="006C0BE8" w:rsidRPr="00476424">
        <w:rPr>
          <w:rFonts w:cstheme="minorHAnsi"/>
          <w:sz w:val="24"/>
          <w:szCs w:val="24"/>
        </w:rPr>
        <w:tab/>
        <w:t xml:space="preserve">Rzeszów, </w:t>
      </w:r>
      <w:r w:rsidR="00476424" w:rsidRPr="00476424">
        <w:rPr>
          <w:rFonts w:cstheme="minorHAnsi"/>
          <w:sz w:val="24"/>
          <w:szCs w:val="24"/>
        </w:rPr>
        <w:t>2</w:t>
      </w:r>
      <w:r w:rsidR="00BE02F7">
        <w:rPr>
          <w:rFonts w:cstheme="minorHAnsi"/>
          <w:sz w:val="24"/>
          <w:szCs w:val="24"/>
        </w:rPr>
        <w:t>6</w:t>
      </w:r>
      <w:r w:rsidR="00476424" w:rsidRPr="00476424">
        <w:rPr>
          <w:rFonts w:cstheme="minorHAnsi"/>
          <w:sz w:val="24"/>
          <w:szCs w:val="24"/>
        </w:rPr>
        <w:t>.</w:t>
      </w:r>
      <w:r w:rsidRPr="00476424">
        <w:rPr>
          <w:rFonts w:cstheme="minorHAnsi"/>
          <w:color w:val="000000" w:themeColor="text1"/>
          <w:sz w:val="24"/>
          <w:szCs w:val="24"/>
        </w:rPr>
        <w:t>1</w:t>
      </w:r>
      <w:r w:rsidR="006C0BE8" w:rsidRPr="00476424">
        <w:rPr>
          <w:rFonts w:cstheme="minorHAnsi"/>
          <w:color w:val="000000" w:themeColor="text1"/>
          <w:sz w:val="24"/>
          <w:szCs w:val="24"/>
        </w:rPr>
        <w:t>0</w:t>
      </w:r>
      <w:r w:rsidR="006C0BE8" w:rsidRPr="00476424">
        <w:rPr>
          <w:rFonts w:cstheme="minorHAnsi"/>
          <w:sz w:val="24"/>
          <w:szCs w:val="24"/>
        </w:rPr>
        <w:t>.2023 r.</w:t>
      </w:r>
    </w:p>
    <w:p w14:paraId="210C4FB8" w14:textId="77777777" w:rsidR="006C0BE8" w:rsidRPr="00476424" w:rsidRDefault="006C0BE8" w:rsidP="006C0BE8">
      <w:pPr>
        <w:spacing w:after="0" w:line="360" w:lineRule="auto"/>
        <w:ind w:firstLine="709"/>
        <w:jc w:val="both"/>
        <w:rPr>
          <w:rFonts w:cstheme="minorHAnsi"/>
          <w:sz w:val="24"/>
          <w:szCs w:val="24"/>
        </w:rPr>
      </w:pPr>
    </w:p>
    <w:p w14:paraId="705B1916" w14:textId="54F01C3A" w:rsidR="006C0BE8" w:rsidRPr="00476424" w:rsidRDefault="006C0BE8" w:rsidP="006C0BE8">
      <w:pPr>
        <w:spacing w:after="0" w:line="360" w:lineRule="auto"/>
        <w:ind w:firstLine="709"/>
        <w:jc w:val="both"/>
        <w:rPr>
          <w:rFonts w:cstheme="minorHAnsi"/>
          <w:i/>
          <w:iCs/>
          <w:sz w:val="24"/>
          <w:szCs w:val="24"/>
        </w:rPr>
      </w:pPr>
      <w:r w:rsidRPr="00476424">
        <w:rPr>
          <w:rFonts w:cstheme="minorHAnsi"/>
          <w:sz w:val="24"/>
          <w:szCs w:val="24"/>
        </w:rPr>
        <w:t xml:space="preserve">Dotyczy postępowania pn.: </w:t>
      </w:r>
      <w:r w:rsidR="00F86D16" w:rsidRPr="00476424">
        <w:rPr>
          <w:rFonts w:cstheme="minorHAnsi"/>
          <w:sz w:val="24"/>
          <w:szCs w:val="24"/>
        </w:rPr>
        <w:t>Opracowanie dokumentacji projektowej dla zadania pn.: „Budowa parku wodnego w Rzeszowie.</w:t>
      </w:r>
    </w:p>
    <w:p w14:paraId="71DE59A0" w14:textId="77777777" w:rsidR="006C0BE8" w:rsidRPr="00476424" w:rsidRDefault="006C0BE8" w:rsidP="006C0BE8">
      <w:pPr>
        <w:spacing w:after="0" w:line="360" w:lineRule="auto"/>
        <w:ind w:firstLine="708"/>
        <w:jc w:val="center"/>
        <w:rPr>
          <w:rFonts w:cstheme="minorHAnsi"/>
          <w:b/>
          <w:bCs/>
          <w:sz w:val="24"/>
          <w:szCs w:val="24"/>
        </w:rPr>
      </w:pPr>
    </w:p>
    <w:p w14:paraId="7A213A0B" w14:textId="35ECC23E" w:rsidR="006C0BE8" w:rsidRPr="004A0FE2" w:rsidRDefault="006C0BE8" w:rsidP="006C0BE8">
      <w:pPr>
        <w:spacing w:after="0" w:line="360" w:lineRule="auto"/>
        <w:ind w:firstLine="708"/>
        <w:jc w:val="center"/>
        <w:rPr>
          <w:rFonts w:cstheme="minorHAnsi"/>
          <w:b/>
          <w:bCs/>
          <w:sz w:val="28"/>
          <w:szCs w:val="28"/>
        </w:rPr>
      </w:pPr>
      <w:r w:rsidRPr="004A0FE2">
        <w:rPr>
          <w:rFonts w:cstheme="minorHAnsi"/>
          <w:b/>
          <w:bCs/>
          <w:sz w:val="28"/>
          <w:szCs w:val="28"/>
        </w:rPr>
        <w:t>WYJAŚNIENIA I ZMIANA TREŚCI SWZ</w:t>
      </w:r>
    </w:p>
    <w:p w14:paraId="67BCBFFD" w14:textId="3E4FE8BB" w:rsidR="006C0BE8" w:rsidRPr="00476424" w:rsidRDefault="006C0BE8" w:rsidP="006C0BE8">
      <w:pPr>
        <w:spacing w:after="0" w:line="360" w:lineRule="auto"/>
        <w:ind w:firstLine="708"/>
        <w:jc w:val="both"/>
        <w:rPr>
          <w:rFonts w:cstheme="minorHAnsi"/>
          <w:sz w:val="24"/>
          <w:szCs w:val="24"/>
        </w:rPr>
      </w:pPr>
      <w:r w:rsidRPr="00476424">
        <w:rPr>
          <w:rFonts w:cstheme="minorHAnsi"/>
          <w:sz w:val="24"/>
          <w:szCs w:val="24"/>
        </w:rPr>
        <w:t>Działając na podstawie art. 135 i 137 ustawy z dnia 11 września 2019 Prawo zamówień publicznych (tekst jedn.: Dz. U. z 202</w:t>
      </w:r>
      <w:r w:rsidR="00F86D16" w:rsidRPr="00476424">
        <w:rPr>
          <w:rFonts w:cstheme="minorHAnsi"/>
          <w:sz w:val="24"/>
          <w:szCs w:val="24"/>
        </w:rPr>
        <w:t>3</w:t>
      </w:r>
      <w:r w:rsidRPr="00476424">
        <w:rPr>
          <w:rFonts w:cstheme="minorHAnsi"/>
          <w:sz w:val="24"/>
          <w:szCs w:val="24"/>
        </w:rPr>
        <w:t xml:space="preserve"> r. poz. 1</w:t>
      </w:r>
      <w:r w:rsidR="00F86D16" w:rsidRPr="00476424">
        <w:rPr>
          <w:rFonts w:cstheme="minorHAnsi"/>
          <w:sz w:val="24"/>
          <w:szCs w:val="24"/>
        </w:rPr>
        <w:t>605</w:t>
      </w:r>
      <w:r w:rsidRPr="00476424">
        <w:rPr>
          <w:rFonts w:cstheme="minorHAnsi"/>
          <w:sz w:val="24"/>
          <w:szCs w:val="24"/>
        </w:rPr>
        <w:t xml:space="preserve"> z późn. zm.), zwanej dalej „Pzp”, Zamawiający publikuje wnioski o wyjaśnienia treści SWZ wraz z odpowiedziami, oraz dokonuje zmiany treści SWZ.</w:t>
      </w:r>
    </w:p>
    <w:p w14:paraId="29973DCB" w14:textId="2A2A54D0" w:rsidR="00436D3E" w:rsidRPr="00476424" w:rsidRDefault="00436D3E" w:rsidP="00436D3E">
      <w:pPr>
        <w:spacing w:after="0" w:line="360" w:lineRule="auto"/>
        <w:jc w:val="both"/>
        <w:rPr>
          <w:rFonts w:cstheme="minorHAnsi"/>
          <w:sz w:val="24"/>
          <w:szCs w:val="24"/>
        </w:rPr>
      </w:pPr>
    </w:p>
    <w:p w14:paraId="6DA9B663"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 </w:t>
      </w:r>
    </w:p>
    <w:p w14:paraId="22C6E628"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„W zaproszeniu do składania ofert w edytowalnych w Excelu Załącznikach obowiązkowych do wypełnienia brakuje załączników 1 i 2.”.</w:t>
      </w:r>
    </w:p>
    <w:p w14:paraId="43785F7A" w14:textId="77777777" w:rsidR="00476424" w:rsidRPr="00476424" w:rsidRDefault="00476424" w:rsidP="00476424">
      <w:pPr>
        <w:pStyle w:val="Bezodstpw"/>
        <w:ind w:firstLine="709"/>
        <w:rPr>
          <w:rFonts w:asciiTheme="minorHAnsi" w:eastAsiaTheme="majorEastAsia" w:hAnsiTheme="minorHAnsi" w:cstheme="minorHAnsi"/>
          <w:color w:val="272727" w:themeColor="text1" w:themeTint="D8"/>
          <w:szCs w:val="24"/>
        </w:rPr>
      </w:pPr>
    </w:p>
    <w:p w14:paraId="7BF3A814"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w:t>
      </w:r>
    </w:p>
    <w:p w14:paraId="4D840286" w14:textId="04273BCF" w:rsidR="00476424" w:rsidRPr="00476424" w:rsidRDefault="00476424" w:rsidP="00476424">
      <w:pPr>
        <w:pStyle w:val="Akapitzlist"/>
        <w:spacing w:after="0" w:line="240" w:lineRule="auto"/>
        <w:ind w:left="0"/>
        <w:jc w:val="both"/>
        <w:rPr>
          <w:rFonts w:cstheme="minorHAnsi"/>
          <w:i/>
          <w:sz w:val="24"/>
          <w:szCs w:val="24"/>
          <w:u w:val="single"/>
        </w:rPr>
      </w:pPr>
      <w:r w:rsidRPr="00476424">
        <w:rPr>
          <w:rFonts w:cstheme="minorHAnsi"/>
          <w:sz w:val="24"/>
          <w:szCs w:val="24"/>
        </w:rPr>
        <w:t>Zamawiający informuje, że w zamieszczonym pliku pn. „Załączniki 1,2,3 do OPZ_02_10_2023” są trzy arkusze. Każdy z arkuszy zawiera inne zestawienie.</w:t>
      </w:r>
    </w:p>
    <w:p w14:paraId="2865952E" w14:textId="77777777" w:rsidR="00476424" w:rsidRPr="00476424" w:rsidRDefault="00476424" w:rsidP="00476424">
      <w:pPr>
        <w:spacing w:after="0" w:line="240" w:lineRule="auto"/>
        <w:rPr>
          <w:rFonts w:cstheme="minorHAnsi"/>
          <w:sz w:val="24"/>
          <w:szCs w:val="24"/>
        </w:rPr>
      </w:pPr>
    </w:p>
    <w:p w14:paraId="5C18DD73"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2: </w:t>
      </w:r>
    </w:p>
    <w:p w14:paraId="40F47984"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„Proszę o informację czy obowiązkowy parking na min. 150 samochodów, stanowiska autokarów, stanowiska Kamperów są w Etapie I czy w Etapie II.”.</w:t>
      </w:r>
    </w:p>
    <w:p w14:paraId="7DE696A4" w14:textId="77777777" w:rsidR="00476424" w:rsidRPr="00476424" w:rsidRDefault="00476424" w:rsidP="00476424">
      <w:pPr>
        <w:pStyle w:val="Akapitzlist"/>
        <w:spacing w:after="0" w:line="240" w:lineRule="auto"/>
        <w:ind w:left="0"/>
        <w:jc w:val="both"/>
        <w:rPr>
          <w:rFonts w:cstheme="minorHAnsi"/>
          <w:sz w:val="24"/>
          <w:szCs w:val="24"/>
          <w:u w:val="single"/>
        </w:rPr>
      </w:pPr>
    </w:p>
    <w:p w14:paraId="122DFBAE"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2:</w:t>
      </w:r>
    </w:p>
    <w:p w14:paraId="091CFD7C"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dokumentacja projektowa ma obejmować całość zakresu rzeczowego z uwzględnieniem etapowania robót budowlanych. Zagospodarowanie terenu realizowane w Etapie I robót budowlanych musi umożliwiać funkcjonowanie części krytej Obiektu, zatem parking dla samochodów oraz autokarów należy przypisać do Etapu I, zgodnie z Opisem przedmiotu zamówienia - rozdział VIII. Program obiektu - punkt 8.1 Minimalne założenia programowe - Tabela: Park Wodny - strefa kryta - pozycja 19 w tabeli (str. 15). Miejsce postoju i serwisowania dla kamperów, w zależności od dyspozycji terenowych, które projektant przeznaczy na lokalizację tych miejsc, projektant przypisuje do właściwego Etapu, uwzględniając jak najniższe koszty wykonania tego zakresu. Zamawiający oczekuje takiego rozwiązania, które nie będzie przy realizacji Etapu II naruszać robót wykonanych w Etapie I, np. utwardzenie terenu dla miejsc postojowych kamperów i punktu serwisowania może być wykonane w Etapie II ale doprowadzenie mediów (prąd, woda, ścieki) do tego miejsca należy wykonać już w Etapie I aby nie naruszać wykonanej infrastruktury.</w:t>
      </w:r>
    </w:p>
    <w:p w14:paraId="69DF68B0" w14:textId="77777777" w:rsidR="00476424" w:rsidRPr="00476424" w:rsidRDefault="00476424" w:rsidP="00476424">
      <w:pPr>
        <w:pStyle w:val="Akapitzlist"/>
        <w:spacing w:after="0" w:line="240" w:lineRule="auto"/>
        <w:ind w:left="0"/>
        <w:jc w:val="both"/>
        <w:rPr>
          <w:rFonts w:cstheme="minorHAnsi"/>
          <w:sz w:val="24"/>
          <w:szCs w:val="24"/>
          <w:u w:val="single"/>
        </w:rPr>
      </w:pPr>
    </w:p>
    <w:p w14:paraId="3AC01D20"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3: </w:t>
      </w:r>
    </w:p>
    <w:p w14:paraId="772A31C2"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„Proszę też o informację czy obowiązkowy program boisk jest w Etapie I czy Etapie II.”.</w:t>
      </w:r>
    </w:p>
    <w:p w14:paraId="28C3D737" w14:textId="77777777" w:rsidR="00476424" w:rsidRPr="00476424" w:rsidRDefault="00476424" w:rsidP="00476424">
      <w:pPr>
        <w:pStyle w:val="Akapitzlist"/>
        <w:spacing w:after="0" w:line="240" w:lineRule="auto"/>
        <w:ind w:left="0"/>
        <w:jc w:val="both"/>
        <w:rPr>
          <w:rFonts w:cstheme="minorHAnsi"/>
          <w:sz w:val="24"/>
          <w:szCs w:val="24"/>
          <w:u w:val="single"/>
        </w:rPr>
      </w:pPr>
    </w:p>
    <w:p w14:paraId="7C2416A5"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3:</w:t>
      </w:r>
    </w:p>
    <w:p w14:paraId="0F85A497"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zgodnie z zapisami Opisu przedmiotu zamówienia boisko do piłki plażowej należy przewidzieć w Etapie II. Opis przedmiotu zamówienia - rozdział VIII. Program obiektu - 8.1 Minimalne założenia programowe - Tabela: Park wodny - strefa odkryta (zewnętrzna) – pozycja 11 w tabeli (str. 16).</w:t>
      </w:r>
    </w:p>
    <w:p w14:paraId="1F914406" w14:textId="77777777" w:rsidR="004A0FE2" w:rsidRDefault="004A0FE2" w:rsidP="00476424">
      <w:pPr>
        <w:pStyle w:val="Bezodstpw"/>
        <w:rPr>
          <w:rFonts w:asciiTheme="minorHAnsi" w:eastAsiaTheme="majorEastAsia" w:hAnsiTheme="minorHAnsi" w:cstheme="minorHAnsi"/>
          <w:b/>
          <w:color w:val="272727" w:themeColor="text1" w:themeTint="D8"/>
          <w:szCs w:val="24"/>
        </w:rPr>
      </w:pPr>
    </w:p>
    <w:p w14:paraId="6D9C3D33" w14:textId="3738F810"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4: </w:t>
      </w:r>
    </w:p>
    <w:p w14:paraId="1DE4CB2F" w14:textId="77777777" w:rsidR="00476424" w:rsidRPr="00476424" w:rsidRDefault="00476424" w:rsidP="00476424">
      <w:pPr>
        <w:pStyle w:val="Akapitzlist"/>
        <w:spacing w:after="0" w:line="240" w:lineRule="auto"/>
        <w:ind w:hanging="720"/>
        <w:jc w:val="both"/>
        <w:rPr>
          <w:rFonts w:cstheme="minorHAnsi"/>
          <w:sz w:val="24"/>
          <w:szCs w:val="24"/>
        </w:rPr>
      </w:pPr>
      <w:r w:rsidRPr="00476424">
        <w:rPr>
          <w:rFonts w:cstheme="minorHAnsi"/>
          <w:sz w:val="24"/>
          <w:szCs w:val="24"/>
        </w:rPr>
        <w:t xml:space="preserve">„Ogólny opis przedmiotu zamówienia w zakresie Zadania. </w:t>
      </w:r>
    </w:p>
    <w:p w14:paraId="6D539513"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(strona 1) - Minimalna liczba miejsc dla autokarów ujęta w Ogólnym opisie przedmiotu zamówienia wynosi 6 miejsc postojowych dla autokarów, jednakże w rozdziale VIII - Program Obiektu, pkt 8.3 ppkt. r) Parking jest informacja o minimalnej liczbie miejsc postojowych dla autokarów wynoszącej 5 miejsc wraz z zatoką do wysiadania. Które z założeń stanowić będzie ostateczne minimum dotyczące liczby miejsc?.”.</w:t>
      </w:r>
    </w:p>
    <w:p w14:paraId="3A8AF349" w14:textId="77777777" w:rsidR="00476424" w:rsidRPr="00476424" w:rsidRDefault="00476424" w:rsidP="00476424">
      <w:pPr>
        <w:pStyle w:val="Akapitzlist"/>
        <w:spacing w:after="0" w:line="240" w:lineRule="auto"/>
        <w:ind w:left="0"/>
        <w:jc w:val="both"/>
        <w:rPr>
          <w:rFonts w:cstheme="minorHAnsi"/>
          <w:sz w:val="24"/>
          <w:szCs w:val="24"/>
          <w:u w:val="single"/>
        </w:rPr>
      </w:pPr>
    </w:p>
    <w:p w14:paraId="7FA41B3F"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4:</w:t>
      </w:r>
    </w:p>
    <w:p w14:paraId="55B63706"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zgodnie z zapisami dokumentu Opis przedmiotu zamówienia zamawiający oczekuje minimum 5 miejsc postojowych dla autokarów oraz zatoki do wysiadania co daje łącznie minimum 6 miejsc mogących służyć jako miejsce do postoju autokarów.</w:t>
      </w:r>
    </w:p>
    <w:p w14:paraId="39314AA4" w14:textId="77777777" w:rsidR="004A0FE2" w:rsidRDefault="004A0FE2" w:rsidP="00476424">
      <w:pPr>
        <w:pStyle w:val="Bezodstpw"/>
        <w:rPr>
          <w:rFonts w:asciiTheme="minorHAnsi" w:eastAsiaTheme="majorEastAsia" w:hAnsiTheme="minorHAnsi" w:cstheme="minorHAnsi"/>
          <w:b/>
          <w:color w:val="272727" w:themeColor="text1" w:themeTint="D8"/>
          <w:szCs w:val="24"/>
        </w:rPr>
      </w:pPr>
    </w:p>
    <w:p w14:paraId="54248CE7" w14:textId="22EB553A"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5: </w:t>
      </w:r>
    </w:p>
    <w:p w14:paraId="193E5F4C"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„Zakres opracowania koncepcji ofertowej: Pkt. 3.1 (strona 3) - Jednym z punktów składowych części rysunkowej jest koncepcja zagospodarowania terenu opracowanego na mapie sytuacyjno-wysokościowej, czy wobec tego zamawiający może udostępnić obszar terenu opracowania z niewielkim kontekstem w postaci mapy zasadniczej edytowalnej formatu dwg. lub dxf. ?”.</w:t>
      </w:r>
    </w:p>
    <w:p w14:paraId="08DAB73C" w14:textId="77777777" w:rsidR="00476424" w:rsidRPr="00476424" w:rsidRDefault="00476424" w:rsidP="00476424">
      <w:pPr>
        <w:pStyle w:val="Akapitzlist"/>
        <w:spacing w:after="0" w:line="240" w:lineRule="auto"/>
        <w:ind w:left="0"/>
        <w:jc w:val="both"/>
        <w:rPr>
          <w:rFonts w:cstheme="minorHAnsi"/>
          <w:sz w:val="24"/>
          <w:szCs w:val="24"/>
          <w:u w:val="single"/>
        </w:rPr>
      </w:pPr>
    </w:p>
    <w:p w14:paraId="49B43D5B"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bookmarkStart w:id="0" w:name="_Hlk148952281"/>
      <w:r w:rsidRPr="00476424">
        <w:rPr>
          <w:rFonts w:asciiTheme="minorHAnsi" w:eastAsiaTheme="majorEastAsia" w:hAnsiTheme="minorHAnsi" w:cstheme="minorHAnsi"/>
          <w:b/>
          <w:color w:val="272727" w:themeColor="text1" w:themeTint="D8"/>
          <w:szCs w:val="24"/>
        </w:rPr>
        <w:t>Odpowiedź na pytanie nr 5:</w:t>
      </w:r>
    </w:p>
    <w:p w14:paraId="22A2AD9E" w14:textId="4D7F7225" w:rsidR="00476424" w:rsidRPr="00476424" w:rsidRDefault="0014173B" w:rsidP="00476424">
      <w:pPr>
        <w:pStyle w:val="Bezodstpw"/>
        <w:rPr>
          <w:rFonts w:asciiTheme="minorHAnsi" w:eastAsiaTheme="majorEastAsia" w:hAnsiTheme="minorHAnsi" w:cstheme="minorHAnsi"/>
          <w:color w:val="272727" w:themeColor="text1" w:themeTint="D8"/>
          <w:szCs w:val="24"/>
        </w:rPr>
      </w:pPr>
      <w:r w:rsidRPr="0014173B">
        <w:rPr>
          <w:rFonts w:asciiTheme="minorHAnsi" w:eastAsiaTheme="majorEastAsia" w:hAnsiTheme="minorHAnsi" w:cstheme="minorHAnsi"/>
          <w:color w:val="272727" w:themeColor="text1" w:themeTint="D8"/>
          <w:szCs w:val="24"/>
        </w:rPr>
        <w:t>Zamawiający w załączeniu przekazuje mapę zasadniczą w formacie .dxf</w:t>
      </w:r>
      <w:r w:rsidR="00C37785">
        <w:rPr>
          <w:rFonts w:asciiTheme="minorHAnsi" w:eastAsiaTheme="majorEastAsia" w:hAnsiTheme="minorHAnsi" w:cstheme="minorHAnsi"/>
          <w:color w:val="272727" w:themeColor="text1" w:themeTint="D8"/>
          <w:szCs w:val="24"/>
        </w:rPr>
        <w:t xml:space="preserve"> (plik - Warstwy.dxf)</w:t>
      </w:r>
      <w:r w:rsidRPr="0014173B">
        <w:rPr>
          <w:rFonts w:asciiTheme="minorHAnsi" w:eastAsiaTheme="majorEastAsia" w:hAnsiTheme="minorHAnsi" w:cstheme="minorHAnsi"/>
          <w:color w:val="272727" w:themeColor="text1" w:themeTint="D8"/>
          <w:szCs w:val="24"/>
        </w:rPr>
        <w:t>.</w:t>
      </w:r>
    </w:p>
    <w:bookmarkEnd w:id="0"/>
    <w:p w14:paraId="0804A45D" w14:textId="77777777" w:rsidR="004A0FE2" w:rsidRDefault="004A0FE2" w:rsidP="00476424">
      <w:pPr>
        <w:pStyle w:val="Bezodstpw"/>
        <w:rPr>
          <w:rFonts w:asciiTheme="minorHAnsi" w:eastAsiaTheme="majorEastAsia" w:hAnsiTheme="minorHAnsi" w:cstheme="minorHAnsi"/>
          <w:b/>
          <w:color w:val="272727" w:themeColor="text1" w:themeTint="D8"/>
          <w:szCs w:val="24"/>
        </w:rPr>
      </w:pPr>
    </w:p>
    <w:p w14:paraId="3EF23733" w14:textId="330954BD"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6: </w:t>
      </w:r>
    </w:p>
    <w:p w14:paraId="6D3C6DFA"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„Zakres opracowania koncepcji ofertowej: Pkt 3.1 (strona 3) - W poprzednim etapie dialogowym dopuszczono możliwość prezentacji rysunków architektonicznych w skali 1:250, czy decyzja ta zostanie podtrzymana? Obecnie w OPZ zapisy dopuszczają maksymalną skalę 1:200 i nie uwzględniają poprzedniego zapytania.”.</w:t>
      </w:r>
    </w:p>
    <w:p w14:paraId="4253F07A" w14:textId="77777777" w:rsidR="00476424" w:rsidRPr="00476424" w:rsidRDefault="00476424" w:rsidP="00476424">
      <w:pPr>
        <w:pStyle w:val="Akapitzlist"/>
        <w:spacing w:after="0" w:line="240" w:lineRule="auto"/>
        <w:ind w:left="0"/>
        <w:jc w:val="both"/>
        <w:rPr>
          <w:rFonts w:cstheme="minorHAnsi"/>
          <w:sz w:val="24"/>
          <w:szCs w:val="24"/>
          <w:u w:val="single"/>
        </w:rPr>
      </w:pPr>
    </w:p>
    <w:p w14:paraId="293D5E73"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6:</w:t>
      </w:r>
    </w:p>
    <w:p w14:paraId="325D2B5C"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Oferenci składają koncepcję ofertową w wersji elektronicznej zgodnie z zapisami SWZ (nie wymaga się wersji papierowej koncepcji ofertowej). Zamawiający podtrzymuje skalę 1:200.</w:t>
      </w:r>
    </w:p>
    <w:p w14:paraId="2D639D92" w14:textId="77777777" w:rsidR="004A0FE2" w:rsidRDefault="004A0FE2" w:rsidP="00476424">
      <w:pPr>
        <w:pStyle w:val="Bezodstpw"/>
        <w:rPr>
          <w:rFonts w:asciiTheme="minorHAnsi" w:eastAsiaTheme="majorEastAsia" w:hAnsiTheme="minorHAnsi" w:cstheme="minorHAnsi"/>
          <w:b/>
          <w:color w:val="272727" w:themeColor="text1" w:themeTint="D8"/>
          <w:szCs w:val="24"/>
        </w:rPr>
      </w:pPr>
    </w:p>
    <w:p w14:paraId="4D3E3FA7" w14:textId="0B5DED41"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7: </w:t>
      </w:r>
    </w:p>
    <w:p w14:paraId="681CD9AF"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„Zakres opracowania koncepcji ofertowej: Czy zakres, forma i wielkość arkuszy w ramach przekazania Koncepcji Ofertowej jest dowolna i decyzja ta pozostaje po stronie oferenta?”.</w:t>
      </w:r>
    </w:p>
    <w:p w14:paraId="35D7FD9E" w14:textId="77777777" w:rsidR="00476424" w:rsidRPr="00476424" w:rsidRDefault="00476424" w:rsidP="00476424">
      <w:pPr>
        <w:pStyle w:val="Akapitzlist"/>
        <w:spacing w:after="0" w:line="240" w:lineRule="auto"/>
        <w:ind w:left="0"/>
        <w:jc w:val="both"/>
        <w:rPr>
          <w:rFonts w:cstheme="minorHAnsi"/>
          <w:sz w:val="24"/>
          <w:szCs w:val="24"/>
          <w:u w:val="single"/>
        </w:rPr>
      </w:pPr>
    </w:p>
    <w:p w14:paraId="34295359" w14:textId="77777777" w:rsidR="00700431" w:rsidRDefault="00700431" w:rsidP="00476424">
      <w:pPr>
        <w:pStyle w:val="Bezodstpw"/>
        <w:rPr>
          <w:rFonts w:asciiTheme="minorHAnsi" w:eastAsiaTheme="majorEastAsia" w:hAnsiTheme="minorHAnsi" w:cstheme="minorHAnsi"/>
          <w:b/>
          <w:color w:val="272727" w:themeColor="text1" w:themeTint="D8"/>
          <w:szCs w:val="24"/>
        </w:rPr>
      </w:pPr>
    </w:p>
    <w:p w14:paraId="3A297795" w14:textId="25010BAB"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lastRenderedPageBreak/>
        <w:t>Odpowiedź na pytanie nr 7:</w:t>
      </w:r>
    </w:p>
    <w:p w14:paraId="63DD5928"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Zamawiający informuje, że zakres i forma opracowania koncepcji ofertowej została opisana w Opisie przedmiotu zamówienia </w:t>
      </w:r>
      <w:bookmarkStart w:id="1" w:name="_Hlk148621395"/>
      <w:r w:rsidRPr="00476424">
        <w:rPr>
          <w:rFonts w:asciiTheme="minorHAnsi" w:eastAsiaTheme="majorEastAsia" w:hAnsiTheme="minorHAnsi" w:cstheme="minorHAnsi"/>
          <w:color w:val="272727" w:themeColor="text1" w:themeTint="D8"/>
          <w:szCs w:val="24"/>
        </w:rPr>
        <w:t>(OPZ) - Rozdział III – 3.1. Zakres opracowania koncepcji ofertowej (KO) str. 2-3 OPZ.</w:t>
      </w:r>
      <w:bookmarkEnd w:id="1"/>
      <w:r w:rsidRPr="00476424">
        <w:rPr>
          <w:rFonts w:asciiTheme="minorHAnsi" w:eastAsiaTheme="majorEastAsia" w:hAnsiTheme="minorHAnsi" w:cstheme="minorHAnsi"/>
          <w:color w:val="272727" w:themeColor="text1" w:themeTint="D8"/>
          <w:szCs w:val="24"/>
        </w:rPr>
        <w:t xml:space="preserve"> Oferenci składają koncepcję ofertową w wersji elektronicznej zgodnie z zapisami SWZ (nie wymaga się wersji papierowej koncepcji ofertowej).</w:t>
      </w:r>
    </w:p>
    <w:p w14:paraId="6F9B7F81" w14:textId="77777777" w:rsidR="004A0FE2" w:rsidRDefault="004A0FE2" w:rsidP="00476424">
      <w:pPr>
        <w:pStyle w:val="Bezodstpw"/>
        <w:rPr>
          <w:rFonts w:asciiTheme="minorHAnsi" w:eastAsiaTheme="majorEastAsia" w:hAnsiTheme="minorHAnsi" w:cstheme="minorHAnsi"/>
          <w:b/>
          <w:color w:val="272727" w:themeColor="text1" w:themeTint="D8"/>
          <w:szCs w:val="24"/>
        </w:rPr>
      </w:pPr>
    </w:p>
    <w:p w14:paraId="7A29C8A9" w14:textId="61A0C46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8: </w:t>
      </w:r>
    </w:p>
    <w:p w14:paraId="3003EDA9" w14:textId="77777777" w:rsidR="00476424" w:rsidRPr="00476424" w:rsidRDefault="00476424" w:rsidP="00476424">
      <w:pPr>
        <w:pStyle w:val="Akapitzlist"/>
        <w:spacing w:after="0" w:line="240" w:lineRule="auto"/>
        <w:ind w:hanging="720"/>
        <w:jc w:val="both"/>
        <w:rPr>
          <w:rFonts w:cstheme="minorHAnsi"/>
          <w:sz w:val="24"/>
          <w:szCs w:val="24"/>
        </w:rPr>
      </w:pPr>
      <w:r w:rsidRPr="00476424">
        <w:rPr>
          <w:rFonts w:cstheme="minorHAnsi"/>
          <w:sz w:val="24"/>
          <w:szCs w:val="24"/>
        </w:rPr>
        <w:t xml:space="preserve">„Dokumentacja projektowa. </w:t>
      </w:r>
    </w:p>
    <w:p w14:paraId="21C14663" w14:textId="77777777" w:rsidR="00476424" w:rsidRPr="00476424" w:rsidRDefault="00476424" w:rsidP="00476424">
      <w:pPr>
        <w:pStyle w:val="Akapitzlist"/>
        <w:spacing w:after="0" w:line="240" w:lineRule="auto"/>
        <w:ind w:hanging="720"/>
        <w:jc w:val="both"/>
        <w:rPr>
          <w:rFonts w:cstheme="minorHAnsi"/>
          <w:sz w:val="24"/>
          <w:szCs w:val="24"/>
        </w:rPr>
      </w:pPr>
      <w:r w:rsidRPr="00476424">
        <w:rPr>
          <w:rFonts w:cstheme="minorHAnsi"/>
          <w:sz w:val="24"/>
          <w:szCs w:val="24"/>
        </w:rPr>
        <w:t xml:space="preserve">Pkt. 4.1 (strona 4) - dotyczy części rysunkowej. </w:t>
      </w:r>
    </w:p>
    <w:p w14:paraId="0EB5FD37"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Według powyższego punktu dokumentacja (PK) projektu koncepcyjnego, tj. uszczegółowionej koncepcji ofertowej musi zawierać rysunki architektoniczne takie jak rzuty, przekroje i elewacje w skali 1:100. Jest to skala projektu budowlanego i wykonawczego, który drukuje się z dużo większą liczbą detali i w tym wypadku rysunki nie zmieszczą się na planszach formatu 100x70cm. Sugerujemy pozostanie przy skali 1:250 (z uwzględnieniem odpowiedzi do pytania pkt. 3.1), która pozwoli zmieścić pełne rysunki na jednym sztywnym podkładzie wymaganego formatu. ”.</w:t>
      </w:r>
    </w:p>
    <w:p w14:paraId="76BFD1C3" w14:textId="77777777" w:rsidR="00476424" w:rsidRPr="00476424" w:rsidRDefault="00476424" w:rsidP="00476424">
      <w:pPr>
        <w:pStyle w:val="Akapitzlist"/>
        <w:spacing w:after="0" w:line="240" w:lineRule="auto"/>
        <w:ind w:left="0"/>
        <w:jc w:val="both"/>
        <w:rPr>
          <w:rFonts w:cstheme="minorHAnsi"/>
          <w:sz w:val="24"/>
          <w:szCs w:val="24"/>
          <w:u w:val="single"/>
        </w:rPr>
      </w:pPr>
    </w:p>
    <w:p w14:paraId="37DF1B2E"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8:</w:t>
      </w:r>
    </w:p>
    <w:p w14:paraId="05227893"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zgodnie z zapisami dokumentu Opis przedmiotu zamówienia (OPZ) - Rozdział IV – Dokumentacja projektowa – Forma opracowania projektu koncepcyjnego str. 4 OPZ - plansze formatu 100x70 cm dotyczą wizualizacji a nie rysunków rzutów, przekroi i elewacji.</w:t>
      </w:r>
    </w:p>
    <w:p w14:paraId="1678501C" w14:textId="3B775AC5" w:rsidR="00476424" w:rsidRPr="00476424" w:rsidRDefault="00476424" w:rsidP="00476424">
      <w:pPr>
        <w:rPr>
          <w:rFonts w:cstheme="minorHAnsi"/>
          <w:sz w:val="24"/>
          <w:szCs w:val="24"/>
        </w:rPr>
      </w:pPr>
    </w:p>
    <w:p w14:paraId="20A5F833"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9: </w:t>
      </w:r>
    </w:p>
    <w:p w14:paraId="1A2F6E95" w14:textId="6CE20869"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„Program Obiektu: Pkt 1 (strona 14) - Ze względu na niemożliwość spełniania wymagań FINA i wymiarów basenu sportowego 25x16 ujętych w OPZ, czy dopuszcza się stosowanie wymiaru 25x12,5m dla basenu sportowego jako bardziej dedykowanego obiektom typu Park Wodny </w:t>
      </w:r>
      <w:r w:rsidRPr="00476424">
        <w:rPr>
          <w:rFonts w:cstheme="minorHAnsi"/>
          <w:sz w:val="24"/>
          <w:szCs w:val="24"/>
        </w:rPr>
        <w:br/>
        <w:t xml:space="preserve">o charakterze rekreacyjnym? </w:t>
      </w:r>
    </w:p>
    <w:p w14:paraId="28B20A7E"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Uzasadnienie Wykonawcy: Według Opisu Przedmiotu Zamówienia sugerowane wymiary basenu sportowego to 25x16m przy zachowaniu 6 torów pływackich w tym dwóch z ruchomym dnem, co nie spełnia wymagań FINA. Według przepisów FINA (załącznik rysunkowy nr 1 do pytania) minimalne wymiary basenu to 25x21m z uwzględnieniem aż 8 torów pływackich. W związku z tym, minimalny wymiar basenu sportowego według przepisów FINA przy 8 torach pływackich wynosi 25x21m. Zwracamy uwagę, iż rozwiązanie to przekracza zakres ujęty w Opisie Przedmiotu Zamówienia Obiekty Parków Wodnych skupiają głównie użytkowników rekreacyjnych i amatorskich, w nich zazwyczaj projektuje się basen sportowy o wymiarach maksymalnie 25x12,5m, który posiada 6 torów pływackich i optymalną powierzchnię lustra wody. Zwracamy uwagę, iż projektowany basen według wymagań FINA zwiększy powierzchnię lustra wody oraz strefę pomieszczenia hali sportowej, dlatego prosimy o sprecyzowanie planowanego przeznaczenia basenu sportowego oraz określenie ostateczne minimalnej jego wielkości w tym liczby torów. Co więcej, przedmiotem zamówienia jest Park Wodny - obiekt domyślnie przeznaczony celom rekreacyjnym. Budowa pełnowymiarowego basenu sportowego zgodnego z wymaganiami FINA będzie stanowić konkurencję i dublowanie funkcji z okolicznymi basenami w tym np. niedawno oddanego do użytku Basenu przy Matuszczaka lub ROSIR w Rzeszowie. Ponadto okoliczne miejscowości będą posiadać dużo bardziej konkurencyjną infrastrukturę sportową. Dla przykładu projektowany w Stalowej Woli Park </w:t>
      </w:r>
      <w:r w:rsidRPr="00476424">
        <w:rPr>
          <w:rFonts w:cstheme="minorHAnsi"/>
          <w:sz w:val="24"/>
          <w:szCs w:val="24"/>
        </w:rPr>
        <w:lastRenderedPageBreak/>
        <w:t>Wodny posiada dwa baseny sportowe o wymiarach 25x12,5m, a w Przemyślu powstanie natomiast obiekt z basenem sportowym o wymiarach 25x25. Dopisać program Przemyśla.”.</w:t>
      </w:r>
    </w:p>
    <w:p w14:paraId="51495EBC" w14:textId="77777777" w:rsidR="00476424" w:rsidRPr="00476424" w:rsidRDefault="00476424" w:rsidP="00476424">
      <w:pPr>
        <w:pStyle w:val="Akapitzlist"/>
        <w:spacing w:after="0" w:line="240" w:lineRule="auto"/>
        <w:ind w:left="0"/>
        <w:jc w:val="both"/>
        <w:rPr>
          <w:rFonts w:cstheme="minorHAnsi"/>
          <w:sz w:val="24"/>
          <w:szCs w:val="24"/>
          <w:u w:val="single"/>
        </w:rPr>
      </w:pPr>
    </w:p>
    <w:p w14:paraId="06C43FC5"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9:</w:t>
      </w:r>
    </w:p>
    <w:p w14:paraId="31CF2A81"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zgodnie z zapisami dokumentu Opis przedmiotu zamówienia -rozdział VIII. Program obiektu - 8.1 Minimalne założenia programowe - Tabela: Park wodny - strefa kryta – pozycja 1 w tabeli (str. 14 Basen sportowy o wymiarach 25x16 m głębokość 1,3–2,0m + strefa techniczna pod ruchome dno, 6 torów pływackich z ruchomym dnem na dwóch torach, zgodny z przepisami FINA) wykonany ma być o wymiarach 25x16 m, co wynika z</w:t>
      </w:r>
      <w:r w:rsidRPr="00476424">
        <w:rPr>
          <w:rFonts w:asciiTheme="minorHAnsi" w:eastAsiaTheme="majorEastAsia" w:hAnsiTheme="minorHAnsi" w:cstheme="minorHAnsi"/>
          <w:color w:val="272727" w:themeColor="text1" w:themeTint="D8"/>
          <w:szCs w:val="24"/>
          <w:highlight w:val="yellow"/>
        </w:rPr>
        <w:t xml:space="preserve"> </w:t>
      </w:r>
      <w:r w:rsidRPr="00476424">
        <w:rPr>
          <w:rFonts w:asciiTheme="minorHAnsi" w:eastAsiaTheme="majorEastAsia" w:hAnsiTheme="minorHAnsi" w:cstheme="minorHAnsi"/>
          <w:color w:val="272727" w:themeColor="text1" w:themeTint="D8"/>
          <w:szCs w:val="24"/>
        </w:rPr>
        <w:t xml:space="preserve">przeprowadzonych badań i analiz potrzeb społecznych (na terenie Rzeszowa funkcjonuje 5 pływalni, do których jest utrudniony dostęp ze względu na zapotrzebowanie społeczeństwa) . Zamawiający oczekuje zaprojektowania i wybudowania niecki o wymiarach 25x16 m z 6 torami, w tym dwoma z ruchomym dnem (4 tory bez ruchomego dna i 2 tory z ruchomym dnem - łącznie 6 torów). Tylko niecka o takiej szerokości pozwoli na zastosowanie torów szerokości 2,5 m każdy z szerszymi torami po zewnętrznych stronach podnosząc komfort użytkowania niecki. </w:t>
      </w:r>
    </w:p>
    <w:p w14:paraId="1318DAB8" w14:textId="77777777" w:rsidR="00B77BE0" w:rsidRDefault="00B77BE0" w:rsidP="00476424">
      <w:pPr>
        <w:pStyle w:val="Bezodstpw"/>
        <w:rPr>
          <w:rFonts w:asciiTheme="minorHAnsi" w:eastAsiaTheme="majorEastAsia" w:hAnsiTheme="minorHAnsi" w:cstheme="minorHAnsi"/>
          <w:b/>
          <w:color w:val="272727" w:themeColor="text1" w:themeTint="D8"/>
          <w:szCs w:val="24"/>
        </w:rPr>
      </w:pPr>
    </w:p>
    <w:p w14:paraId="1F708569" w14:textId="0B7142B5"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10: </w:t>
      </w:r>
    </w:p>
    <w:p w14:paraId="3ABAD719"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„Pkt 2 (strona 14) - Czy zamawiający dopuszcza możliwość rezygnacji z technologii podnoszonego dna w niecce Basenu Sportowego ze względu na niemożliwość pogodzenia ze sobą dwóch zapisów norm basenowych: </w:t>
      </w:r>
    </w:p>
    <w:p w14:paraId="2CDABEA3"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 Przepisy FINA (2017-2021) pkt. FR. 2.4.2 i Norma PN-EN-15288-1+A1_2010E" Baseny pływackie - część 1: Wymagania bezpieczeństwa dotyczące projektowania" w pkt. 5.6.3.2 zakładają konieczność stosowania stopnia spoczynkowego na całym obrysie niecki, której głębokość przekracza 1,4 m. </w:t>
      </w:r>
    </w:p>
    <w:p w14:paraId="5ED043E9"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 Norma PN-EN 13451-1 Część 1: Ogólne wymagania bezpieczeństwa i metody badań stanowi natomiast o zabezpieczeniu części ciała przed zakleszczeniem. </w:t>
      </w:r>
    </w:p>
    <w:p w14:paraId="76CA3388"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W przypadku przewidzianego do zastosowania systemu ruchomego dna w pewnym zakresie położenia ruchomego dna dojdzie do niebezpieczeństwa niezgodności z niniejszą normą a tym samym niebezpieczeństwa zaklinowania części ciała pod wodą (Przyjęte rozwiązanie OPZ stwarza zagrożenie dla użytkowników i przyszłego zarządzającego)? </w:t>
      </w:r>
    </w:p>
    <w:p w14:paraId="4627EC34"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Jeżeli Zamawiający nie dopuszcza rezygnacji to czy alternatywnym rozwiązaniem może być przeniesienie technologii podnoszonego dna do niecki o innej funkcji niż Basen Sportowy, aby spełnić minimalne założenia OPZ? </w:t>
      </w:r>
    </w:p>
    <w:p w14:paraId="049D7437"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Uzasadnienie Wykonawcy: Według Opisu Przedmiotu Zamówienia Basen Sportowy powinien posiadać ruchome dno na dwóch torach pływackich. Dodatkowo w tej samej strefie znajduje się Basen Treningowy o całkowitym dnie ruchomym. </w:t>
      </w:r>
    </w:p>
    <w:p w14:paraId="278015FC"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Specyfika głębokiego Basenu Sportowego o wysokim standardzie wymaga zapewnienia listwy wypoczynkowej na stopy przy głębokości powyżej 1.4m lokalizowanej na głębokości 1.2m  Rozwiązanie to w połączeniu z ruchomym dnem stwarza dodatkową konieczność zapewnienia bezpieczeństwa użytkownikom przed zaklinowaniem się jakiejkolwiek części ciała w szczelinie podczas zmiany głębokości ruchomego dna. Punkt 2 zakłada zaprojektowanie Basenu Treningowego z ruchomym dnem w tej samej strefie, dlatego ze względów bezpieczeństwa i duplikowania technologii sugerujemy wyłączenie z wyposażenia Basenu Sportowego torów z ruchomym dnem. Alternatywnym rozwiązaniem może być wyposażenie niecki basenowej w ruchome dno w innej strefie funkcjonalnej.”.</w:t>
      </w:r>
    </w:p>
    <w:p w14:paraId="77D81A44" w14:textId="77777777" w:rsidR="00476424" w:rsidRPr="00476424" w:rsidRDefault="00476424" w:rsidP="00476424">
      <w:pPr>
        <w:pStyle w:val="Akapitzlist"/>
        <w:spacing w:after="0" w:line="240" w:lineRule="auto"/>
        <w:ind w:left="0"/>
        <w:jc w:val="both"/>
        <w:rPr>
          <w:rFonts w:cstheme="minorHAnsi"/>
          <w:sz w:val="24"/>
          <w:szCs w:val="24"/>
          <w:u w:val="single"/>
        </w:rPr>
      </w:pPr>
    </w:p>
    <w:p w14:paraId="3874ABF9"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lastRenderedPageBreak/>
        <w:t>Odpowiedź na pytanie nr 10:</w:t>
      </w:r>
    </w:p>
    <w:p w14:paraId="6EF6404D"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Zamawiający informuje, że aktualnie obowiązujące przepisy FINA to dokument na lata 2021-2025 a nie przywołane w pytaniu przepisy FINA 2017-2021. Obiekt należy też zaprojektować zgodnie z  obowiązującymi przepisami i normami w zakresie basenów przytoczonych w OPZ na str.7. Na polskim i europejskim rynku istnieją rozwiązania w zakresie projektowania niecek i ruchomego dna pozwalające na spełnienie niniejszych wymagań.</w:t>
      </w:r>
    </w:p>
    <w:p w14:paraId="69D3CE67" w14:textId="77777777" w:rsidR="00B77BE0" w:rsidRDefault="00B77BE0" w:rsidP="00476424">
      <w:pPr>
        <w:pStyle w:val="Bezodstpw"/>
        <w:rPr>
          <w:rFonts w:asciiTheme="minorHAnsi" w:eastAsiaTheme="majorEastAsia" w:hAnsiTheme="minorHAnsi" w:cstheme="minorHAnsi"/>
          <w:b/>
          <w:color w:val="272727" w:themeColor="text1" w:themeTint="D8"/>
          <w:szCs w:val="24"/>
        </w:rPr>
      </w:pPr>
      <w:bookmarkStart w:id="2" w:name="_Hlk148686415"/>
    </w:p>
    <w:p w14:paraId="440392D1" w14:textId="5E3D1ECF"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11: </w:t>
      </w:r>
    </w:p>
    <w:p w14:paraId="58243191" w14:textId="77777777" w:rsidR="00476424" w:rsidRPr="00476424" w:rsidRDefault="00476424" w:rsidP="00476424">
      <w:pPr>
        <w:pStyle w:val="Akapitzlist"/>
        <w:spacing w:after="0" w:line="240" w:lineRule="auto"/>
        <w:ind w:hanging="720"/>
        <w:jc w:val="both"/>
        <w:rPr>
          <w:rFonts w:cstheme="minorHAnsi"/>
          <w:sz w:val="24"/>
          <w:szCs w:val="24"/>
        </w:rPr>
      </w:pPr>
      <w:r w:rsidRPr="00476424">
        <w:rPr>
          <w:rFonts w:cstheme="minorHAnsi"/>
          <w:sz w:val="24"/>
          <w:szCs w:val="24"/>
        </w:rPr>
        <w:t xml:space="preserve">„Pkt Tabela (strona 16) - Park wodny - strefa odkryta (zewnętrzna) </w:t>
      </w:r>
    </w:p>
    <w:p w14:paraId="7F8E791D"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Czy zamawiający dopuszcza dowolność wykonawcy w kształtowaniu 550m2 lustra wody co do typu atrakcji i podziału tych basenów na odrębne strefy funkcjonalne w ramach Etapu I?”.</w:t>
      </w:r>
    </w:p>
    <w:p w14:paraId="17C94DE4" w14:textId="77777777" w:rsidR="00476424" w:rsidRPr="00476424" w:rsidRDefault="00476424" w:rsidP="00476424">
      <w:pPr>
        <w:pStyle w:val="Akapitzlist"/>
        <w:spacing w:after="0" w:line="240" w:lineRule="auto"/>
        <w:ind w:left="0"/>
        <w:jc w:val="both"/>
        <w:rPr>
          <w:rFonts w:cstheme="minorHAnsi"/>
          <w:sz w:val="24"/>
          <w:szCs w:val="24"/>
          <w:u w:val="single"/>
        </w:rPr>
      </w:pPr>
    </w:p>
    <w:p w14:paraId="20BDDD27"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11:</w:t>
      </w:r>
    </w:p>
    <w:p w14:paraId="2ED9D2EC"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Zamawiający informuje, że przedmiotem zamówienia jest opracowanie pełnej dokumentacji projektowej dla Obiektu park wodny w Rzeszowie, składającej się z części krytej i części zewnętrznej oraz zagospodarowania terenu i dla takiego zakresu należy opracować koncepcję ofertową (KO). Podział na etapy realizacji robót budowlanych na Etap I i Etap II powinien być ujęty w KO. W Opisie przedmiotu zamówienia (OPZ) na  str.1 opisano zakres etapowania robót budowlanych. Basen zewnętrzny o minimalnym lustrze wody 550 m² realizowany będzie </w:t>
      </w:r>
      <w:r w:rsidRPr="00476424">
        <w:rPr>
          <w:rFonts w:asciiTheme="minorHAnsi" w:eastAsiaTheme="majorEastAsia" w:hAnsiTheme="minorHAnsi" w:cstheme="minorHAnsi"/>
          <w:color w:val="272727" w:themeColor="text1" w:themeTint="D8"/>
          <w:szCs w:val="24"/>
        </w:rPr>
        <w:br/>
        <w:t xml:space="preserve">w Etapie I. Na str. 16 OPZ – Tabela: Park Wodny - strefa odkryta (zewnętrzna) w pozycji </w:t>
      </w:r>
      <w:r w:rsidRPr="00476424">
        <w:rPr>
          <w:rFonts w:asciiTheme="minorHAnsi" w:eastAsiaTheme="majorEastAsia" w:hAnsiTheme="minorHAnsi" w:cstheme="minorHAnsi"/>
          <w:color w:val="272727" w:themeColor="text1" w:themeTint="D8"/>
          <w:szCs w:val="24"/>
        </w:rPr>
        <w:br/>
        <w:t xml:space="preserve">1 określono jaki to basen: „Basen rekreacyjny dla młodzieży i dorosłych z rwącą rzeką, strefą z trzema torami do pływania, huśtawką wodną, leżankami, gejzerem, siedziskami z masażem, biczami wodnymi/ masażami karku – minimum 550 m².”. Do Etapu I należy również przyporządkować wodny plac zabaw o powierzchni min. 170 m² (pozycja 2 z Tabel: Park Wodny - strefa odkryta (zewnętrzna), gdzie podano szczegółowe informacje co powinien zawierać wodny plac zabaw. </w:t>
      </w:r>
    </w:p>
    <w:bookmarkEnd w:id="2"/>
    <w:p w14:paraId="66D6CEA4" w14:textId="77777777" w:rsidR="00A11BBF" w:rsidRDefault="00A11BBF" w:rsidP="00476424">
      <w:pPr>
        <w:pStyle w:val="Bezodstpw"/>
        <w:rPr>
          <w:rFonts w:asciiTheme="minorHAnsi" w:eastAsiaTheme="majorEastAsia" w:hAnsiTheme="minorHAnsi" w:cstheme="minorHAnsi"/>
          <w:b/>
          <w:color w:val="272727" w:themeColor="text1" w:themeTint="D8"/>
          <w:szCs w:val="24"/>
        </w:rPr>
      </w:pPr>
    </w:p>
    <w:p w14:paraId="68A1CFF0" w14:textId="7C9E7AB8"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12: </w:t>
      </w:r>
    </w:p>
    <w:p w14:paraId="22B31650" w14:textId="77777777" w:rsidR="00476424" w:rsidRPr="00476424" w:rsidRDefault="00476424" w:rsidP="00476424">
      <w:pPr>
        <w:pStyle w:val="Akapitzlist"/>
        <w:spacing w:after="0" w:line="240" w:lineRule="auto"/>
        <w:ind w:hanging="720"/>
        <w:jc w:val="both"/>
        <w:rPr>
          <w:rFonts w:cstheme="minorHAnsi"/>
          <w:sz w:val="24"/>
          <w:szCs w:val="24"/>
        </w:rPr>
      </w:pPr>
      <w:r w:rsidRPr="00476424">
        <w:rPr>
          <w:rFonts w:cstheme="minorHAnsi"/>
          <w:sz w:val="24"/>
          <w:szCs w:val="24"/>
        </w:rPr>
        <w:t xml:space="preserve">„8.3 ppkt. (strona 20) f) Nagłośnienie </w:t>
      </w:r>
    </w:p>
    <w:p w14:paraId="4B6BB2A9"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Według OPZ przewiduje się zlokalizowanie systemu obsługującego nagłośnienie </w:t>
      </w:r>
      <w:r w:rsidRPr="00476424">
        <w:rPr>
          <w:rFonts w:cstheme="minorHAnsi"/>
          <w:sz w:val="24"/>
          <w:szCs w:val="24"/>
        </w:rPr>
        <w:br/>
        <w:t xml:space="preserve">w pomieszczeniu dla ratowników. Sam dokument OPZ oraz poziom skomplikowania </w:t>
      </w:r>
      <w:r w:rsidRPr="00476424">
        <w:rPr>
          <w:rFonts w:cstheme="minorHAnsi"/>
          <w:sz w:val="24"/>
          <w:szCs w:val="24"/>
        </w:rPr>
        <w:br/>
        <w:t xml:space="preserve">i zarządzania technologią w obiekcie wymaga zastosowania systemu BMS, który powinien posiadać swoje indywidualne pomieszczenie. System BMS jest w stanie zarządzać nagłośnieniem, dlatego zwracamy uwagę, zgodnie z dzisiejszymi standardami nie musi on znajdować się w pomieszczeniu ratownika. Co więcej, pomieszczenie ratownika jest pomieszczeniem narażonym na znaczny wpływ agresywnego środowiska basenowego </w:t>
      </w:r>
      <w:r w:rsidRPr="00476424">
        <w:rPr>
          <w:rFonts w:cstheme="minorHAnsi"/>
          <w:sz w:val="24"/>
          <w:szCs w:val="24"/>
        </w:rPr>
        <w:br/>
        <w:t>i lokalizowanie tam tego typu sprzętu elektronicznego może skutkować jego szybkim uszkodzeniem. Tym samym lokalizacja tego typu urządzeń w pomieszczeniu przeznaczonym na BMS jest bardziej racjonalna.”.</w:t>
      </w:r>
    </w:p>
    <w:p w14:paraId="7DB1CEB0" w14:textId="77777777" w:rsidR="00476424" w:rsidRPr="00476424" w:rsidRDefault="00476424" w:rsidP="00476424">
      <w:pPr>
        <w:pStyle w:val="Akapitzlist"/>
        <w:spacing w:after="0" w:line="240" w:lineRule="auto"/>
        <w:ind w:left="0"/>
        <w:jc w:val="both"/>
        <w:rPr>
          <w:rFonts w:cstheme="minorHAnsi"/>
          <w:sz w:val="24"/>
          <w:szCs w:val="24"/>
          <w:u w:val="single"/>
        </w:rPr>
      </w:pPr>
    </w:p>
    <w:p w14:paraId="29533937"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12:</w:t>
      </w:r>
    </w:p>
    <w:p w14:paraId="78C6AF72"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Zamawiający informuje, że zgodnie z dokumentem Opis przedmiotu zamówienia str. 20 - punkt i) Nagłośnienie - Zamawiający wskazuje minimalne wymagania dla tej funkcjonalności, przy czym lokalizację systemu w pomieszczeniu ratowników należy rozumieć jako jedną </w:t>
      </w:r>
      <w:r w:rsidRPr="00476424">
        <w:rPr>
          <w:rFonts w:asciiTheme="minorHAnsi" w:eastAsiaTheme="majorEastAsia" w:hAnsiTheme="minorHAnsi" w:cstheme="minorHAnsi"/>
          <w:color w:val="272727" w:themeColor="text1" w:themeTint="D8"/>
          <w:szCs w:val="24"/>
        </w:rPr>
        <w:br/>
        <w:t>z lokalizacji wybranej funkcjonalności niezbędnej do obsługi przez ratowników, np. nadawanie komunikatów związanych z bezpieczeństwem.</w:t>
      </w:r>
    </w:p>
    <w:p w14:paraId="794598A7" w14:textId="59C255B3" w:rsidR="00476424" w:rsidRPr="00476424" w:rsidRDefault="00476424" w:rsidP="00476424">
      <w:pPr>
        <w:rPr>
          <w:rFonts w:cstheme="minorHAnsi"/>
          <w:sz w:val="24"/>
          <w:szCs w:val="24"/>
        </w:rPr>
      </w:pPr>
    </w:p>
    <w:p w14:paraId="7DFE42C3" w14:textId="77777777" w:rsidR="00476424" w:rsidRPr="00476424" w:rsidRDefault="00476424" w:rsidP="00476424">
      <w:pPr>
        <w:pStyle w:val="Akapitzlist"/>
        <w:spacing w:after="0" w:line="240" w:lineRule="auto"/>
        <w:ind w:left="0"/>
        <w:jc w:val="both"/>
        <w:rPr>
          <w:rFonts w:cstheme="minorHAnsi"/>
          <w:sz w:val="24"/>
          <w:szCs w:val="24"/>
          <w:u w:val="single"/>
        </w:rPr>
      </w:pPr>
    </w:p>
    <w:p w14:paraId="1E543C09"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13: </w:t>
      </w:r>
    </w:p>
    <w:p w14:paraId="208FEF3A"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„Czy zamawiający dopuszcza możliwość zmiany elementów w Załączniku nr 2 do Projektu Umowy - “Harmonogram rzeczowo-finansowy” w porozumieniu Wykonawcy z Zamawiającym, po wyłonieniu najkorzystniejszej Koncepcji Ofertowej? Uzasadnienie Wykonawcy: Uzyskanie wielu elementów usługi w sztywnych ramach czasowych, które chcielibyśmy zmodyfikować, aby lepiej odpowiadały potrzebom realizacji projektu. Przykładowo część III zakłada realizację wniosków takich jak: decyzja o środowiskowych uwarunkowaniach, decyzja zgody na usunięcie drzew i krzewów czy decyzja na zjazd z drogi w terminie do 30 dni od zatwierdzenia przez Zamawiającego Projektu Koncepcyjnego. Zwracamy uwagę, iż dobrą praktyką w całym procesie projektowania jest wnioskowanie o wycinkę drzew i krzewów dopiero po uzyskaniu pozwolenia na budowę, aby uniknąć sytuacji, w której dokona się wycinki bez prawomocnego pozwolenia na budowę. Wiele starostw powiatowych przyjmuje taki sposób postępowania jako obowiązkowy.”.</w:t>
      </w:r>
    </w:p>
    <w:p w14:paraId="4CD94243" w14:textId="77777777" w:rsidR="00476424" w:rsidRPr="00476424" w:rsidRDefault="00476424" w:rsidP="00476424">
      <w:pPr>
        <w:pStyle w:val="Akapitzlist"/>
        <w:spacing w:after="0" w:line="240" w:lineRule="auto"/>
        <w:ind w:left="0"/>
        <w:jc w:val="both"/>
        <w:rPr>
          <w:rFonts w:cstheme="minorHAnsi"/>
          <w:sz w:val="24"/>
          <w:szCs w:val="24"/>
          <w:u w:val="single"/>
        </w:rPr>
      </w:pPr>
    </w:p>
    <w:p w14:paraId="45CFD50A"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13:</w:t>
      </w:r>
    </w:p>
    <w:p w14:paraId="512CAC29"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Zamawiający informuje, że dopuszcza zmianę kolejności wykonania elementów dokumentacji projektowej określonych w dokumencie pn. Harmonogram rzeczowo-finansowy (HRF), jeśli zmiana ta wpływa na realizację etapu projektowania w sposób płynny i bez zbędnej zwłoki. Sytuacja, która jest przywoływana w pytaniu określa termin złożenia kompletnego wniosku </w:t>
      </w:r>
      <w:r w:rsidRPr="00476424">
        <w:rPr>
          <w:rFonts w:asciiTheme="minorHAnsi" w:eastAsiaTheme="majorEastAsia" w:hAnsiTheme="minorHAnsi" w:cstheme="minorHAnsi"/>
          <w:color w:val="272727" w:themeColor="text1" w:themeTint="D8"/>
          <w:szCs w:val="24"/>
        </w:rPr>
        <w:br/>
        <w:t xml:space="preserve">o uzyskanie decyzji a nie samo uzyskanie decyzji, bo terminy uzyskania decyzji wynikają </w:t>
      </w:r>
      <w:r w:rsidRPr="00476424">
        <w:rPr>
          <w:rFonts w:asciiTheme="minorHAnsi" w:eastAsiaTheme="majorEastAsia" w:hAnsiTheme="minorHAnsi" w:cstheme="minorHAnsi"/>
          <w:color w:val="272727" w:themeColor="text1" w:themeTint="D8"/>
          <w:szCs w:val="24"/>
        </w:rPr>
        <w:br/>
        <w:t>z Kodeksu Postępowania Administracyjnego (KPA).</w:t>
      </w:r>
    </w:p>
    <w:p w14:paraId="39D57E55"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 Zamawiający kolejność wykonywania elementów projektowych opisał według doświadczenia i zasad jakimi kieruje się tutejszy organ architektoniczno – budowlany podczas wydawania decyzji pozwolenia na budowę (pozwolenie po uzyskaniu decyzji na wycinkę drzew). Sytuacja, która jest przywoływana w pytaniu np. w zakresie wnioskowania o wycinkę drzew dopiero po uzyskaniu pozwolenia na budowę nie zabezpiecza interesów Zamawiającego i może wydłużyć proces projektowania gdyż prawomocne pozwolenie na budowę nie daje gwarancji uzyskania zezwolenia na wycinkę drzew i w takiej sytuacji Wykonawca będzie musiał przeprojektować obiekt zachowując drzewostan, którego wycinka będzie niemożliwa.</w:t>
      </w:r>
    </w:p>
    <w:p w14:paraId="4E5C49C3"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Harmonogram rzeczowo – finansowy wymaga akceptacji Zamawiającego przez zawarciem umowy i na tym etapie będą prowadzone ustalenia. </w:t>
      </w:r>
    </w:p>
    <w:p w14:paraId="567E8B01" w14:textId="77777777" w:rsidR="00476424" w:rsidRPr="00476424" w:rsidRDefault="00476424" w:rsidP="00476424">
      <w:pPr>
        <w:pStyle w:val="Akapitzlist"/>
        <w:spacing w:after="0" w:line="240" w:lineRule="auto"/>
        <w:ind w:left="0"/>
        <w:jc w:val="both"/>
        <w:rPr>
          <w:rFonts w:cstheme="minorHAnsi"/>
          <w:sz w:val="24"/>
          <w:szCs w:val="24"/>
          <w:u w:val="single"/>
        </w:rPr>
      </w:pPr>
    </w:p>
    <w:p w14:paraId="4FA787E5"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 xml:space="preserve">Pytanie nr 14: </w:t>
      </w:r>
    </w:p>
    <w:p w14:paraId="6915308F"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„Czy zamawiający dopuszcza zmianę sposobu określenia terminów etapów realizacji dokumentacji projektowej? </w:t>
      </w:r>
    </w:p>
    <w:p w14:paraId="6CF4CC04" w14:textId="77777777" w:rsidR="00476424" w:rsidRPr="00476424" w:rsidRDefault="00476424" w:rsidP="00476424">
      <w:pPr>
        <w:pStyle w:val="Akapitzlist"/>
        <w:spacing w:after="0" w:line="240" w:lineRule="auto"/>
        <w:ind w:left="0"/>
        <w:jc w:val="both"/>
        <w:rPr>
          <w:rFonts w:cstheme="minorHAnsi"/>
          <w:sz w:val="24"/>
          <w:szCs w:val="24"/>
        </w:rPr>
      </w:pPr>
      <w:r w:rsidRPr="00476424">
        <w:rPr>
          <w:rFonts w:cstheme="minorHAnsi"/>
          <w:sz w:val="24"/>
          <w:szCs w:val="24"/>
        </w:rPr>
        <w:t xml:space="preserve">Uzasadnienie Wykonawcy: Wszystkie dokumenty postępowania wskazują czas na wykonanie pełnej dokumentacji projektowej w terminie do 24 miesięcy od daty podpisania umowy. Jednak terminy realizacji wszystkich etapów są od siebie wzajemnie uzależnione sztywnymi ramami czasowymi. Przykładowo II etap realizacji, czyli Projekt Koncepcyjny ma zostać wykonany w terminie do 90 dni od daty podpisania umowy, następnie wszelkie wnioski formalne mają być realizowane w terminach do 30 dni od daty zatwierdzenia PK. W tym wypadku powyższe założenie nie premiuje szybszego przedkładania elementów umowy przez Wykonawcę, ponieważ wszystkie następne etapy mają sztywne ramy czasowe, czyli określoną liczbę dni. Dlatego pomimo ewentualnego zakończenia etapu w krótszym czasie względem harmonogramu, Wykonawca nie ma możliwości wykorzystania zaoszczędzonego okresu w następnych etapach. One bez względu na szybkość realizacji etapów nie ulegają zmianie. Po </w:t>
      </w:r>
      <w:r w:rsidRPr="00476424">
        <w:rPr>
          <w:rFonts w:cstheme="minorHAnsi"/>
          <w:sz w:val="24"/>
          <w:szCs w:val="24"/>
        </w:rPr>
        <w:lastRenderedPageBreak/>
        <w:t>wyborze Koncepcji Ofertowej w porozumieniu Zamawiającego z wybranym Wykonawcą proponujemy możliwość ustalenia konkretnych realnych terminów dla każdego z etapów inwestycji, przy uwzględnieniu zakładanego czasu pracy w danym etapie. Całość w oparciu o umowny termin wykonania zadania do 24 miesięcy od podpisania umowy. To rozwiązanie zapewni Wykonawcy  perspektywę przedkładania kolejnych etapów dokumentacji według harmonogramu, przy możliwości zachowania terminów granicznych. Dzięki temu, przy wcześniejszym zrealizowaniu jednego z etapów, zwiększa się możliwość czasu pracy w kolejnym. Rozwiązanie to nie wpłynie na ostateczny termin realizacji..”.</w:t>
      </w:r>
    </w:p>
    <w:p w14:paraId="0643AF24" w14:textId="77777777" w:rsidR="00476424" w:rsidRPr="00476424" w:rsidRDefault="00476424" w:rsidP="00476424">
      <w:pPr>
        <w:pStyle w:val="Akapitzlist"/>
        <w:spacing w:after="0" w:line="240" w:lineRule="auto"/>
        <w:ind w:left="0"/>
        <w:jc w:val="both"/>
        <w:rPr>
          <w:rFonts w:cstheme="minorHAnsi"/>
          <w:sz w:val="24"/>
          <w:szCs w:val="24"/>
          <w:u w:val="single"/>
        </w:rPr>
      </w:pPr>
    </w:p>
    <w:p w14:paraId="6DA2AAF4" w14:textId="77777777" w:rsidR="00476424" w:rsidRPr="00476424" w:rsidRDefault="00476424" w:rsidP="00476424">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14:</w:t>
      </w:r>
    </w:p>
    <w:p w14:paraId="1485394C" w14:textId="77777777" w:rsidR="00476424" w:rsidRPr="00476424" w:rsidRDefault="00476424" w:rsidP="00476424">
      <w:pPr>
        <w:pStyle w:val="Bezodstpw"/>
        <w:rPr>
          <w:rFonts w:asciiTheme="minorHAnsi" w:eastAsiaTheme="majorEastAsia" w:hAnsiTheme="minorHAnsi" w:cstheme="minorHAnsi"/>
          <w:color w:val="272727" w:themeColor="text1" w:themeTint="D8"/>
          <w:szCs w:val="24"/>
        </w:rPr>
      </w:pPr>
      <w:r w:rsidRPr="00476424">
        <w:rPr>
          <w:rFonts w:asciiTheme="minorHAnsi" w:eastAsiaTheme="majorEastAsia" w:hAnsiTheme="minorHAnsi" w:cstheme="minorHAnsi"/>
          <w:color w:val="272727" w:themeColor="text1" w:themeTint="D8"/>
          <w:szCs w:val="24"/>
        </w:rPr>
        <w:t xml:space="preserve">Zamawiający informuje, że określone przez Zamawiającego terminy w Harmonogramie rzeczowo-finansowy (HRF) wskazują maksymalne terminy (do….) w jakich Wykonawca ma przekazać Zamawiającemu określone elementy usługi z zaznaczeniem, że czas realizacji przedmiotu umowy nie może przekroczyć 24 miesięcy. Zastosowanie wskazania maksymalnych nieprzekraczalnych terminów realizacji oznacza, że Wykonawca może przekazać poszczególne elementy usługi w terminie wcześniejszym. </w:t>
      </w:r>
    </w:p>
    <w:p w14:paraId="66D01F17" w14:textId="77777777" w:rsidR="0028025A" w:rsidRDefault="0028025A" w:rsidP="0028025A">
      <w:pPr>
        <w:pStyle w:val="Bezodstpw"/>
        <w:rPr>
          <w:rFonts w:asciiTheme="minorHAnsi" w:eastAsiaTheme="majorEastAsia" w:hAnsiTheme="minorHAnsi" w:cstheme="minorHAnsi"/>
          <w:b/>
          <w:color w:val="272727" w:themeColor="text1" w:themeTint="D8"/>
          <w:szCs w:val="24"/>
        </w:rPr>
      </w:pPr>
    </w:p>
    <w:p w14:paraId="5DE850FF" w14:textId="5FEEBC2A" w:rsidR="0028025A" w:rsidRPr="00476424" w:rsidRDefault="0028025A" w:rsidP="0028025A">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Pytanie nr 1</w:t>
      </w:r>
      <w:r>
        <w:rPr>
          <w:rFonts w:asciiTheme="minorHAnsi" w:eastAsiaTheme="majorEastAsia" w:hAnsiTheme="minorHAnsi" w:cstheme="minorHAnsi"/>
          <w:b/>
          <w:color w:val="272727" w:themeColor="text1" w:themeTint="D8"/>
          <w:szCs w:val="24"/>
        </w:rPr>
        <w:t>5</w:t>
      </w:r>
      <w:r w:rsidRPr="00476424">
        <w:rPr>
          <w:rFonts w:asciiTheme="minorHAnsi" w:eastAsiaTheme="majorEastAsia" w:hAnsiTheme="minorHAnsi" w:cstheme="minorHAnsi"/>
          <w:b/>
          <w:color w:val="272727" w:themeColor="text1" w:themeTint="D8"/>
          <w:szCs w:val="24"/>
        </w:rPr>
        <w:t xml:space="preserve">: </w:t>
      </w:r>
    </w:p>
    <w:p w14:paraId="52B42CF4" w14:textId="77777777" w:rsidR="0028025A" w:rsidRPr="0028025A" w:rsidRDefault="0028025A" w:rsidP="0028025A">
      <w:pPr>
        <w:pStyle w:val="Akapitzlist"/>
        <w:spacing w:after="0" w:line="240" w:lineRule="auto"/>
        <w:ind w:left="0"/>
        <w:jc w:val="both"/>
        <w:rPr>
          <w:rFonts w:cstheme="minorHAnsi"/>
          <w:sz w:val="24"/>
          <w:szCs w:val="24"/>
        </w:rPr>
      </w:pPr>
      <w:r w:rsidRPr="0028025A">
        <w:rPr>
          <w:rFonts w:cstheme="minorHAnsi"/>
          <w:sz w:val="24"/>
          <w:szCs w:val="24"/>
        </w:rPr>
        <w:t>Uprzejmie proszę o informację czy postępowanie zostało umieszczone na platformie e-Zamówienia.</w:t>
      </w:r>
    </w:p>
    <w:p w14:paraId="652D668D" w14:textId="77777777" w:rsidR="0028025A" w:rsidRPr="0028025A" w:rsidRDefault="0028025A" w:rsidP="0028025A">
      <w:pPr>
        <w:pStyle w:val="Akapitzlist"/>
        <w:spacing w:after="0" w:line="240" w:lineRule="auto"/>
        <w:ind w:left="0"/>
        <w:jc w:val="both"/>
        <w:rPr>
          <w:rFonts w:cstheme="minorHAnsi"/>
          <w:sz w:val="24"/>
          <w:szCs w:val="24"/>
        </w:rPr>
      </w:pPr>
    </w:p>
    <w:p w14:paraId="19C42E3B" w14:textId="77777777" w:rsidR="0028025A" w:rsidRPr="0028025A" w:rsidRDefault="0028025A" w:rsidP="0028025A">
      <w:pPr>
        <w:pStyle w:val="Akapitzlist"/>
        <w:spacing w:after="0" w:line="240" w:lineRule="auto"/>
        <w:ind w:left="0"/>
        <w:jc w:val="both"/>
        <w:rPr>
          <w:rFonts w:cstheme="minorHAnsi"/>
          <w:sz w:val="24"/>
          <w:szCs w:val="24"/>
        </w:rPr>
      </w:pPr>
      <w:r w:rsidRPr="0028025A">
        <w:rPr>
          <w:rFonts w:cstheme="minorHAnsi"/>
          <w:sz w:val="24"/>
          <w:szCs w:val="24"/>
        </w:rPr>
        <w:t xml:space="preserve">Zgodnie z zapisem SWZ oferty mają być składane za pośrednictwem strony:  </w:t>
      </w:r>
    </w:p>
    <w:p w14:paraId="3A944D6C" w14:textId="0DC4C004" w:rsidR="004D512B" w:rsidRPr="0028025A" w:rsidRDefault="005F011A" w:rsidP="0028025A">
      <w:pPr>
        <w:pStyle w:val="Akapitzlist"/>
        <w:spacing w:after="0" w:line="240" w:lineRule="auto"/>
        <w:ind w:left="0"/>
        <w:jc w:val="both"/>
        <w:rPr>
          <w:rFonts w:cstheme="minorHAnsi"/>
          <w:sz w:val="24"/>
          <w:szCs w:val="24"/>
        </w:rPr>
      </w:pPr>
      <w:hyperlink r:id="rId8" w:history="1">
        <w:r w:rsidR="004D512B" w:rsidRPr="00911274">
          <w:rPr>
            <w:rStyle w:val="Hipercze"/>
            <w:rFonts w:cstheme="minorHAnsi"/>
            <w:sz w:val="24"/>
            <w:szCs w:val="24"/>
          </w:rPr>
          <w:t>https://ezamowienia.gov.pl</w:t>
        </w:r>
      </w:hyperlink>
    </w:p>
    <w:p w14:paraId="06CDA436" w14:textId="77777777" w:rsidR="0028025A" w:rsidRPr="0028025A" w:rsidRDefault="0028025A" w:rsidP="0028025A">
      <w:pPr>
        <w:pStyle w:val="Akapitzlist"/>
        <w:spacing w:after="0" w:line="240" w:lineRule="auto"/>
        <w:ind w:left="0"/>
        <w:jc w:val="both"/>
        <w:rPr>
          <w:rFonts w:cstheme="minorHAnsi"/>
          <w:sz w:val="24"/>
          <w:szCs w:val="24"/>
        </w:rPr>
      </w:pPr>
      <w:r w:rsidRPr="0028025A">
        <w:rPr>
          <w:rFonts w:cstheme="minorHAnsi"/>
          <w:sz w:val="24"/>
          <w:szCs w:val="24"/>
        </w:rPr>
        <w:t>oraz, że Identyfikator (ID) postępowania na platformie to:</w:t>
      </w:r>
    </w:p>
    <w:p w14:paraId="1A214D7D" w14:textId="77777777" w:rsidR="0028025A" w:rsidRPr="0028025A" w:rsidRDefault="0028025A" w:rsidP="0028025A">
      <w:pPr>
        <w:pStyle w:val="Akapitzlist"/>
        <w:spacing w:after="0" w:line="240" w:lineRule="auto"/>
        <w:ind w:left="0"/>
        <w:jc w:val="both"/>
        <w:rPr>
          <w:rFonts w:cstheme="minorHAnsi"/>
          <w:sz w:val="24"/>
          <w:szCs w:val="24"/>
        </w:rPr>
      </w:pPr>
      <w:r w:rsidRPr="0028025A">
        <w:rPr>
          <w:rFonts w:cstheme="minorHAnsi"/>
          <w:sz w:val="24"/>
          <w:szCs w:val="24"/>
        </w:rPr>
        <w:t>ocds-148610-5ba31789-77be-11ed-b4ea-f64d350121d2</w:t>
      </w:r>
    </w:p>
    <w:p w14:paraId="0AA66BC9" w14:textId="77777777" w:rsidR="0028025A" w:rsidRPr="0028025A" w:rsidRDefault="0028025A" w:rsidP="0028025A">
      <w:pPr>
        <w:pStyle w:val="Akapitzlist"/>
        <w:spacing w:after="0" w:line="240" w:lineRule="auto"/>
        <w:ind w:left="0"/>
        <w:jc w:val="both"/>
        <w:rPr>
          <w:rFonts w:cstheme="minorHAnsi"/>
          <w:sz w:val="24"/>
          <w:szCs w:val="24"/>
        </w:rPr>
      </w:pPr>
    </w:p>
    <w:p w14:paraId="2D81BA6A" w14:textId="77777777" w:rsidR="0028025A" w:rsidRPr="0028025A" w:rsidRDefault="0028025A" w:rsidP="0028025A">
      <w:pPr>
        <w:pStyle w:val="Akapitzlist"/>
        <w:spacing w:after="0" w:line="240" w:lineRule="auto"/>
        <w:ind w:left="0"/>
        <w:jc w:val="both"/>
        <w:rPr>
          <w:rFonts w:cstheme="minorHAnsi"/>
          <w:sz w:val="24"/>
          <w:szCs w:val="24"/>
        </w:rPr>
      </w:pPr>
      <w:r w:rsidRPr="0028025A">
        <w:rPr>
          <w:rFonts w:cstheme="minorHAnsi"/>
          <w:sz w:val="24"/>
          <w:szCs w:val="24"/>
        </w:rPr>
        <w:t xml:space="preserve">Na tą chwilę nie odnajdujemy postępowania, również po wpisaniu danych z informacji zamieszczonej na: </w:t>
      </w:r>
    </w:p>
    <w:p w14:paraId="47596DCA" w14:textId="170041F9" w:rsidR="0028025A" w:rsidRDefault="005F011A" w:rsidP="0028025A">
      <w:pPr>
        <w:pStyle w:val="Akapitzlist"/>
        <w:spacing w:after="0" w:line="240" w:lineRule="auto"/>
        <w:ind w:left="0"/>
        <w:jc w:val="both"/>
        <w:rPr>
          <w:rFonts w:cstheme="minorHAnsi"/>
          <w:sz w:val="24"/>
          <w:szCs w:val="24"/>
        </w:rPr>
      </w:pPr>
      <w:hyperlink r:id="rId9" w:anchor="ak1" w:history="1">
        <w:r w:rsidR="004D512B" w:rsidRPr="00911274">
          <w:rPr>
            <w:rStyle w:val="Hipercze"/>
            <w:rFonts w:cstheme="minorHAnsi"/>
            <w:sz w:val="24"/>
            <w:szCs w:val="24"/>
          </w:rPr>
          <w:t>https://bip.erzeszow.pl/pl/104-zamowienia-publiczne/4914-zamowienia-publiczne-udzielane-na-podstawie-ustawy-prawo-zamowien-publicznych-aktualne/63201-opracowanie-dokumentacji-projektowej-dla-zadania-pn-budowa-parku-wodnego-w-rzeszowie.html?srch=Budowa%20parku%20wodnego%20w%20Rzeszowie#ak1</w:t>
        </w:r>
      </w:hyperlink>
    </w:p>
    <w:p w14:paraId="044A03EA" w14:textId="77777777" w:rsidR="004D512B" w:rsidRPr="00476424" w:rsidRDefault="004D512B" w:rsidP="0028025A">
      <w:pPr>
        <w:pStyle w:val="Akapitzlist"/>
        <w:spacing w:after="0" w:line="240" w:lineRule="auto"/>
        <w:ind w:left="0"/>
        <w:jc w:val="both"/>
        <w:rPr>
          <w:rFonts w:cstheme="minorHAnsi"/>
          <w:sz w:val="24"/>
          <w:szCs w:val="24"/>
          <w:u w:val="single"/>
        </w:rPr>
      </w:pPr>
    </w:p>
    <w:p w14:paraId="4CD5AFAE" w14:textId="24BFC435" w:rsidR="0028025A" w:rsidRPr="00476424" w:rsidRDefault="0028025A" w:rsidP="0028025A">
      <w:pPr>
        <w:pStyle w:val="Bezodstpw"/>
        <w:rPr>
          <w:rFonts w:asciiTheme="minorHAnsi" w:eastAsiaTheme="majorEastAsia" w:hAnsiTheme="minorHAnsi" w:cstheme="minorHAnsi"/>
          <w:b/>
          <w:color w:val="272727" w:themeColor="text1" w:themeTint="D8"/>
          <w:szCs w:val="24"/>
        </w:rPr>
      </w:pPr>
      <w:r w:rsidRPr="00476424">
        <w:rPr>
          <w:rFonts w:asciiTheme="minorHAnsi" w:eastAsiaTheme="majorEastAsia" w:hAnsiTheme="minorHAnsi" w:cstheme="minorHAnsi"/>
          <w:b/>
          <w:color w:val="272727" w:themeColor="text1" w:themeTint="D8"/>
          <w:szCs w:val="24"/>
        </w:rPr>
        <w:t>Odpowiedź na pytanie nr 1</w:t>
      </w:r>
      <w:r>
        <w:rPr>
          <w:rFonts w:asciiTheme="minorHAnsi" w:eastAsiaTheme="majorEastAsia" w:hAnsiTheme="minorHAnsi" w:cstheme="minorHAnsi"/>
          <w:b/>
          <w:color w:val="272727" w:themeColor="text1" w:themeTint="D8"/>
          <w:szCs w:val="24"/>
        </w:rPr>
        <w:t>5</w:t>
      </w:r>
      <w:r w:rsidRPr="00476424">
        <w:rPr>
          <w:rFonts w:asciiTheme="minorHAnsi" w:eastAsiaTheme="majorEastAsia" w:hAnsiTheme="minorHAnsi" w:cstheme="minorHAnsi"/>
          <w:b/>
          <w:color w:val="272727" w:themeColor="text1" w:themeTint="D8"/>
          <w:szCs w:val="24"/>
        </w:rPr>
        <w:t>:</w:t>
      </w:r>
    </w:p>
    <w:p w14:paraId="00828933" w14:textId="7E2886E9" w:rsidR="00F86D16" w:rsidRDefault="004D512B" w:rsidP="004D512B">
      <w:pPr>
        <w:spacing w:after="0" w:line="240" w:lineRule="auto"/>
        <w:jc w:val="both"/>
        <w:rPr>
          <w:rFonts w:cstheme="minorHAnsi"/>
          <w:sz w:val="24"/>
          <w:szCs w:val="24"/>
        </w:rPr>
      </w:pPr>
      <w:r>
        <w:rPr>
          <w:rFonts w:cstheme="minorHAnsi"/>
          <w:sz w:val="24"/>
          <w:szCs w:val="24"/>
        </w:rPr>
        <w:t>Zamawiający przekazuje adres strony internetowej za pośrednictwem której należy złożyć ofertę:</w:t>
      </w:r>
    </w:p>
    <w:p w14:paraId="690775B9" w14:textId="5E3C189D" w:rsidR="004D512B" w:rsidRPr="00476424" w:rsidRDefault="005F011A" w:rsidP="00436D3E">
      <w:pPr>
        <w:spacing w:after="0" w:line="360" w:lineRule="auto"/>
        <w:jc w:val="both"/>
        <w:rPr>
          <w:rFonts w:cstheme="minorHAnsi"/>
          <w:sz w:val="24"/>
          <w:szCs w:val="24"/>
        </w:rPr>
      </w:pPr>
      <w:hyperlink r:id="rId10" w:history="1">
        <w:r w:rsidR="004D512B" w:rsidRPr="00476424">
          <w:rPr>
            <w:rStyle w:val="Hipercze"/>
            <w:rFonts w:cstheme="minorHAnsi"/>
            <w:sz w:val="24"/>
            <w:szCs w:val="24"/>
          </w:rPr>
          <w:t>https://ezamowienia.gov.pl/mp-client/search/list/ocds-148610-5ba31789-77be-11ed-b4ea-f64d350121d2</w:t>
        </w:r>
      </w:hyperlink>
    </w:p>
    <w:p w14:paraId="73B61A70" w14:textId="77777777" w:rsidR="00F86D16" w:rsidRPr="00476424" w:rsidRDefault="00F86D16" w:rsidP="00436D3E">
      <w:pPr>
        <w:spacing w:after="0" w:line="360" w:lineRule="auto"/>
        <w:jc w:val="both"/>
        <w:rPr>
          <w:rFonts w:cstheme="minorHAnsi"/>
          <w:sz w:val="24"/>
          <w:szCs w:val="24"/>
        </w:rPr>
      </w:pPr>
    </w:p>
    <w:p w14:paraId="35046EA7" w14:textId="3F8AF1B1" w:rsidR="00436D3E" w:rsidRPr="00476424" w:rsidRDefault="00436D3E" w:rsidP="00436D3E">
      <w:pPr>
        <w:spacing w:after="0" w:line="360" w:lineRule="auto"/>
        <w:jc w:val="both"/>
        <w:rPr>
          <w:rFonts w:cstheme="minorHAnsi"/>
          <w:b/>
          <w:bCs/>
          <w:sz w:val="24"/>
          <w:szCs w:val="24"/>
        </w:rPr>
      </w:pPr>
      <w:r w:rsidRPr="00476424">
        <w:rPr>
          <w:rFonts w:cstheme="minorHAnsi"/>
          <w:b/>
          <w:bCs/>
          <w:sz w:val="24"/>
          <w:szCs w:val="24"/>
        </w:rPr>
        <w:t>Zamawiający dokonuje następując</w:t>
      </w:r>
      <w:r w:rsidR="00700431">
        <w:rPr>
          <w:rFonts w:cstheme="minorHAnsi"/>
          <w:b/>
          <w:bCs/>
          <w:sz w:val="24"/>
          <w:szCs w:val="24"/>
        </w:rPr>
        <w:t>ych</w:t>
      </w:r>
      <w:r w:rsidRPr="00476424">
        <w:rPr>
          <w:rFonts w:cstheme="minorHAnsi"/>
          <w:b/>
          <w:bCs/>
          <w:sz w:val="24"/>
          <w:szCs w:val="24"/>
        </w:rPr>
        <w:t xml:space="preserve"> zmian</w:t>
      </w:r>
      <w:r w:rsidR="00700431">
        <w:rPr>
          <w:rFonts w:cstheme="minorHAnsi"/>
          <w:b/>
          <w:bCs/>
          <w:sz w:val="24"/>
          <w:szCs w:val="24"/>
        </w:rPr>
        <w:t xml:space="preserve"> w treści</w:t>
      </w:r>
      <w:r w:rsidRPr="00476424">
        <w:rPr>
          <w:rFonts w:cstheme="minorHAnsi"/>
          <w:b/>
          <w:bCs/>
          <w:sz w:val="24"/>
          <w:szCs w:val="24"/>
        </w:rPr>
        <w:t xml:space="preserve"> SWZ:</w:t>
      </w:r>
    </w:p>
    <w:p w14:paraId="2D9D0CD2" w14:textId="431F46F1" w:rsidR="0058202F" w:rsidRPr="00476424" w:rsidRDefault="0058202F" w:rsidP="00D204FD">
      <w:pPr>
        <w:pStyle w:val="Akapitzlist"/>
        <w:numPr>
          <w:ilvl w:val="0"/>
          <w:numId w:val="10"/>
        </w:numPr>
        <w:spacing w:after="0" w:line="360" w:lineRule="auto"/>
        <w:ind w:left="284" w:hanging="426"/>
        <w:jc w:val="both"/>
        <w:rPr>
          <w:rFonts w:cstheme="minorHAnsi"/>
          <w:sz w:val="24"/>
          <w:szCs w:val="24"/>
        </w:rPr>
      </w:pPr>
      <w:r w:rsidRPr="00476424">
        <w:rPr>
          <w:rFonts w:cstheme="minorHAnsi"/>
          <w:sz w:val="24"/>
          <w:szCs w:val="24"/>
        </w:rPr>
        <w:t>W Rozdziale I SWZ dodaje się zapis:</w:t>
      </w:r>
    </w:p>
    <w:p w14:paraId="6A28F5E1" w14:textId="77777777" w:rsidR="0058202F" w:rsidRPr="00476424" w:rsidRDefault="0058202F" w:rsidP="00D204FD">
      <w:pPr>
        <w:spacing w:after="0" w:line="360" w:lineRule="auto"/>
        <w:ind w:left="284"/>
        <w:jc w:val="both"/>
        <w:rPr>
          <w:rFonts w:cstheme="minorHAnsi"/>
          <w:sz w:val="24"/>
          <w:szCs w:val="24"/>
        </w:rPr>
      </w:pPr>
      <w:r w:rsidRPr="00476424">
        <w:rPr>
          <w:rFonts w:cstheme="minorHAnsi"/>
          <w:sz w:val="24"/>
          <w:szCs w:val="24"/>
        </w:rPr>
        <w:t>„adres strony internetowej prowadzonego postępowania, przez którą należy złożyć ofertę:</w:t>
      </w:r>
    </w:p>
    <w:p w14:paraId="2F8DD20F" w14:textId="424F3C9D" w:rsidR="0058202F" w:rsidRDefault="005F011A" w:rsidP="00D204FD">
      <w:pPr>
        <w:spacing w:after="0" w:line="360" w:lineRule="auto"/>
        <w:ind w:left="426"/>
        <w:jc w:val="both"/>
        <w:rPr>
          <w:rFonts w:cstheme="minorHAnsi"/>
          <w:sz w:val="24"/>
          <w:szCs w:val="24"/>
        </w:rPr>
      </w:pPr>
      <w:hyperlink r:id="rId11" w:history="1">
        <w:r w:rsidR="0058202F" w:rsidRPr="00476424">
          <w:rPr>
            <w:rStyle w:val="Hipercze"/>
            <w:rFonts w:cstheme="minorHAnsi"/>
            <w:sz w:val="24"/>
            <w:szCs w:val="24"/>
          </w:rPr>
          <w:t>https://ezamowienia.gov.pl/mp-client/search/list/ocds-148610-5ba31789-77be-11ed-b4ea-f64d350121d2</w:t>
        </w:r>
      </w:hyperlink>
      <w:r w:rsidR="0058202F" w:rsidRPr="00476424">
        <w:rPr>
          <w:rFonts w:cstheme="minorHAnsi"/>
          <w:sz w:val="24"/>
          <w:szCs w:val="24"/>
        </w:rPr>
        <w:t>”</w:t>
      </w:r>
    </w:p>
    <w:p w14:paraId="4D25CA87" w14:textId="77777777" w:rsidR="0014173B" w:rsidRDefault="0014173B" w:rsidP="0014173B">
      <w:pPr>
        <w:pStyle w:val="Akapitzlist"/>
        <w:numPr>
          <w:ilvl w:val="0"/>
          <w:numId w:val="10"/>
        </w:numPr>
        <w:spacing w:after="0" w:line="360" w:lineRule="auto"/>
        <w:ind w:left="426"/>
        <w:jc w:val="both"/>
        <w:rPr>
          <w:rFonts w:cstheme="minorHAnsi"/>
          <w:sz w:val="24"/>
          <w:szCs w:val="24"/>
        </w:rPr>
      </w:pPr>
      <w:r>
        <w:rPr>
          <w:rFonts w:cstheme="minorHAnsi"/>
          <w:sz w:val="24"/>
          <w:szCs w:val="24"/>
        </w:rPr>
        <w:t>W Rozdziale VI w pkt 2 wykreśla się zapis:</w:t>
      </w:r>
    </w:p>
    <w:p w14:paraId="5F0BFD02" w14:textId="77777777"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(składa każdy wykonawca wraz z ofertą)</w:t>
      </w:r>
      <w:r>
        <w:rPr>
          <w:rFonts w:cstheme="minorHAnsi"/>
          <w:sz w:val="24"/>
          <w:szCs w:val="24"/>
        </w:rPr>
        <w:t>”.</w:t>
      </w:r>
    </w:p>
    <w:p w14:paraId="66E46F58" w14:textId="190BC9D6"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otrzymuje on brzmienie:</w:t>
      </w:r>
    </w:p>
    <w:p w14:paraId="745B46FA" w14:textId="56BAB88A"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Wykaz oświadczeń w celu wstępnego potwierdzenia</w:t>
      </w:r>
      <w:r>
        <w:rPr>
          <w:rFonts w:cstheme="minorHAnsi"/>
          <w:sz w:val="24"/>
          <w:szCs w:val="24"/>
        </w:rPr>
        <w:t>,</w:t>
      </w:r>
      <w:r w:rsidRPr="0014173B">
        <w:rPr>
          <w:rFonts w:cstheme="minorHAnsi"/>
          <w:sz w:val="24"/>
          <w:szCs w:val="24"/>
        </w:rPr>
        <w:t xml:space="preserve"> że wykonawca nie podlega wykluczeniu oraz spełnia warunki udziału w postępowaniu</w:t>
      </w:r>
      <w:r>
        <w:rPr>
          <w:rFonts w:cstheme="minorHAnsi"/>
          <w:sz w:val="24"/>
          <w:szCs w:val="24"/>
        </w:rPr>
        <w:t>”.</w:t>
      </w:r>
    </w:p>
    <w:p w14:paraId="2D242AE1" w14:textId="100D6295" w:rsidR="0014173B" w:rsidRDefault="0014173B" w:rsidP="0014173B">
      <w:pPr>
        <w:pStyle w:val="Akapitzlist"/>
        <w:numPr>
          <w:ilvl w:val="0"/>
          <w:numId w:val="10"/>
        </w:numPr>
        <w:spacing w:after="0" w:line="360" w:lineRule="auto"/>
        <w:ind w:left="426"/>
        <w:jc w:val="both"/>
        <w:rPr>
          <w:rFonts w:cstheme="minorHAnsi"/>
          <w:sz w:val="24"/>
          <w:szCs w:val="24"/>
        </w:rPr>
      </w:pPr>
      <w:r>
        <w:rPr>
          <w:rFonts w:cstheme="minorHAnsi"/>
          <w:sz w:val="24"/>
          <w:szCs w:val="24"/>
        </w:rPr>
        <w:t>W Rozdziale VIII w pkt 7 ppkt 2 wykreśla się zapis:</w:t>
      </w:r>
    </w:p>
    <w:p w14:paraId="43CF0877" w14:textId="59647787"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lub w treści „Formularza do komunikacji”</w:t>
      </w:r>
    </w:p>
    <w:p w14:paraId="073D1C5E" w14:textId="5EE06ECE"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otrzymuje on brzmienie:</w:t>
      </w:r>
    </w:p>
    <w:p w14:paraId="3A8DFFF5" w14:textId="76704BA6"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jako tekst wpisany bezpośrednio do wiadomości przekazywanej przy użyciu środków komunikacji elektronicznej (np. w treści wiadomości e-mail</w:t>
      </w:r>
      <w:r>
        <w:rPr>
          <w:rFonts w:cstheme="minorHAnsi"/>
          <w:sz w:val="24"/>
          <w:szCs w:val="24"/>
        </w:rPr>
        <w:t>).”</w:t>
      </w:r>
    </w:p>
    <w:p w14:paraId="714514A0" w14:textId="1596B29F" w:rsidR="0014173B" w:rsidRDefault="0014173B" w:rsidP="0014173B">
      <w:pPr>
        <w:pStyle w:val="Akapitzlist"/>
        <w:numPr>
          <w:ilvl w:val="0"/>
          <w:numId w:val="10"/>
        </w:numPr>
        <w:spacing w:after="0" w:line="360" w:lineRule="auto"/>
        <w:ind w:left="426"/>
        <w:jc w:val="both"/>
        <w:rPr>
          <w:rFonts w:cstheme="minorHAnsi"/>
          <w:sz w:val="24"/>
          <w:szCs w:val="24"/>
        </w:rPr>
      </w:pPr>
      <w:r>
        <w:rPr>
          <w:rFonts w:cstheme="minorHAnsi"/>
          <w:sz w:val="24"/>
          <w:szCs w:val="24"/>
        </w:rPr>
        <w:t>W Rozdziale X pkt 4 wykreśla się zapis:</w:t>
      </w:r>
    </w:p>
    <w:p w14:paraId="5118C110" w14:textId="05CA278A"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Zalogowany</w:t>
      </w:r>
      <w:r>
        <w:rPr>
          <w:rFonts w:cstheme="minorHAnsi"/>
          <w:sz w:val="24"/>
          <w:szCs w:val="24"/>
        </w:rPr>
        <w:t>”</w:t>
      </w:r>
    </w:p>
    <w:p w14:paraId="4D8755D8" w14:textId="32DC6F13"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otrzymuje on brzmienie:</w:t>
      </w:r>
    </w:p>
    <w:p w14:paraId="308B752C" w14:textId="1EBCBA91" w:rsidR="0014173B" w:rsidRDefault="0014173B" w:rsidP="0014173B">
      <w:pPr>
        <w:pStyle w:val="Akapitzlist"/>
        <w:spacing w:after="0" w:line="360" w:lineRule="auto"/>
        <w:ind w:left="426"/>
        <w:jc w:val="both"/>
        <w:rPr>
          <w:rFonts w:cstheme="minorHAnsi"/>
          <w:sz w:val="24"/>
          <w:szCs w:val="24"/>
        </w:rPr>
      </w:pPr>
      <w:r>
        <w:rPr>
          <w:rFonts w:cstheme="minorHAnsi"/>
          <w:sz w:val="24"/>
          <w:szCs w:val="24"/>
        </w:rPr>
        <w:t>„</w:t>
      </w:r>
      <w:r w:rsidRPr="0014173B">
        <w:rPr>
          <w:rFonts w:cstheme="minorHAnsi"/>
          <w:sz w:val="24"/>
          <w:szCs w:val="24"/>
        </w:rPr>
        <w:t>Wykonawca pobiera załącznik do SWZ „Formularz ofertowy”, zapisuje go na dysku komputera użytkownika, uzupełnia pozostałymi danymi wymaganymi przez Zamawiającego i ponownie zapisuje na dysku komputera użytkownika oraz podpisuje odpowiednim rodzajem podpisu elektronicznego.</w:t>
      </w:r>
      <w:r>
        <w:rPr>
          <w:rFonts w:cstheme="minorHAnsi"/>
          <w:sz w:val="24"/>
          <w:szCs w:val="24"/>
        </w:rPr>
        <w:t>”</w:t>
      </w:r>
    </w:p>
    <w:p w14:paraId="1A70BF86" w14:textId="45F7FD61" w:rsidR="00123A03" w:rsidRDefault="00123A03" w:rsidP="00123A03">
      <w:pPr>
        <w:pStyle w:val="Akapitzlist"/>
        <w:numPr>
          <w:ilvl w:val="0"/>
          <w:numId w:val="10"/>
        </w:numPr>
        <w:spacing w:after="0" w:line="360" w:lineRule="auto"/>
        <w:ind w:left="426"/>
        <w:jc w:val="both"/>
        <w:rPr>
          <w:rFonts w:cstheme="minorHAnsi"/>
          <w:sz w:val="24"/>
          <w:szCs w:val="24"/>
        </w:rPr>
      </w:pPr>
      <w:r>
        <w:rPr>
          <w:rFonts w:cstheme="minorHAnsi"/>
          <w:sz w:val="24"/>
          <w:szCs w:val="24"/>
        </w:rPr>
        <w:t>W Rozdziale XVIII pkt 1 ppkt 4 usuwa się zapis:</w:t>
      </w:r>
    </w:p>
    <w:p w14:paraId="4D16AE3B" w14:textId="26469FCE" w:rsidR="00123A03" w:rsidRDefault="00123A03" w:rsidP="00123A03">
      <w:pPr>
        <w:pStyle w:val="Akapitzlist"/>
        <w:spacing w:after="0" w:line="360" w:lineRule="auto"/>
        <w:ind w:left="426"/>
        <w:jc w:val="both"/>
        <w:rPr>
          <w:rFonts w:cstheme="minorHAnsi"/>
          <w:sz w:val="24"/>
          <w:szCs w:val="24"/>
        </w:rPr>
      </w:pPr>
      <w:r>
        <w:rPr>
          <w:rFonts w:cstheme="minorHAnsi"/>
          <w:sz w:val="24"/>
          <w:szCs w:val="24"/>
        </w:rPr>
        <w:t>„</w:t>
      </w:r>
      <w:r w:rsidRPr="00123A03">
        <w:rPr>
          <w:rFonts w:cstheme="minorHAnsi"/>
          <w:sz w:val="24"/>
          <w:szCs w:val="24"/>
        </w:rPr>
        <w:t>Zamawiający nie wyraża zgody na tworzenie zabezpieczenia przez potrącenia z należności za częściowo wykonane zamówienie</w:t>
      </w:r>
      <w:r>
        <w:rPr>
          <w:rFonts w:cstheme="minorHAnsi"/>
          <w:sz w:val="24"/>
          <w:szCs w:val="24"/>
        </w:rPr>
        <w:t>”</w:t>
      </w:r>
    </w:p>
    <w:p w14:paraId="4939ED01" w14:textId="56FE3F07" w:rsidR="00123A03" w:rsidRDefault="00123A03" w:rsidP="00123A03">
      <w:pPr>
        <w:pStyle w:val="Akapitzlist"/>
        <w:spacing w:after="0" w:line="360" w:lineRule="auto"/>
        <w:ind w:left="426"/>
        <w:jc w:val="both"/>
        <w:rPr>
          <w:rFonts w:cstheme="minorHAnsi"/>
          <w:sz w:val="24"/>
          <w:szCs w:val="24"/>
        </w:rPr>
      </w:pPr>
      <w:r>
        <w:rPr>
          <w:rFonts w:cstheme="minorHAnsi"/>
          <w:sz w:val="24"/>
          <w:szCs w:val="24"/>
        </w:rPr>
        <w:t>otrzymuje on brzmienie:</w:t>
      </w:r>
    </w:p>
    <w:p w14:paraId="7782D333" w14:textId="3CA69866" w:rsidR="00123A03" w:rsidRDefault="00123A03" w:rsidP="00123A03">
      <w:pPr>
        <w:pStyle w:val="Akapitzlist"/>
        <w:spacing w:after="0" w:line="360" w:lineRule="auto"/>
        <w:ind w:left="426"/>
        <w:jc w:val="both"/>
        <w:rPr>
          <w:rFonts w:cstheme="minorHAnsi"/>
          <w:sz w:val="24"/>
          <w:szCs w:val="24"/>
        </w:rPr>
      </w:pPr>
      <w:r>
        <w:rPr>
          <w:rFonts w:cstheme="minorHAnsi"/>
          <w:sz w:val="24"/>
          <w:szCs w:val="24"/>
        </w:rPr>
        <w:t>„</w:t>
      </w:r>
      <w:r w:rsidRPr="00123A03">
        <w:rPr>
          <w:rFonts w:cstheme="minorHAnsi"/>
          <w:sz w:val="24"/>
          <w:szCs w:val="24"/>
        </w:rPr>
        <w:t>Zabezpieczenie w innej formie niż pieniądz należy złożyć w formie oryginału w sekretariacie Wydziału Inwestycji Urzędu Miasta Rzeszowa przy ul. Grunwaldzkiej 38.</w:t>
      </w:r>
      <w:r>
        <w:rPr>
          <w:rFonts w:cstheme="minorHAnsi"/>
          <w:sz w:val="24"/>
          <w:szCs w:val="24"/>
        </w:rPr>
        <w:t xml:space="preserve"> </w:t>
      </w:r>
      <w:r w:rsidRPr="00123A03">
        <w:rPr>
          <w:rFonts w:cstheme="minorHAnsi"/>
          <w:sz w:val="24"/>
          <w:szCs w:val="24"/>
        </w:rPr>
        <w:t xml:space="preserve">W przypadku wnoszenia zabezpieczenia w innej formie niż pieniądz treść dokumentu stanowiącego zabezpieczenie musi być zgodna z art. 453 Pzp, czyli Zamawiający wymaga aby kwota pozostawiona na zabezpieczenie roszczeń z tytułu rękojmi za wady przedmiotu umowy lub gwarancji  wynosiła 30% wysokości zabezpieczenia. Z treści gwarancji /poręczenia winno wynikać bezwarunkowe i nieodwołalne zobowiązanie Gwaranta do wypłaty Zamawiającemu, na jego pierwsze żądanie, wymaganej kwoty. Zamawiający </w:t>
      </w:r>
      <w:r w:rsidRPr="00123A03">
        <w:rPr>
          <w:rFonts w:cstheme="minorHAnsi"/>
          <w:sz w:val="24"/>
          <w:szCs w:val="24"/>
        </w:rPr>
        <w:lastRenderedPageBreak/>
        <w:t>poniżej zamieszcza wymagania co do treści ubezpieczeniowej lub bankowej gwarancji należytego wykonania umowy.</w:t>
      </w:r>
      <w:r>
        <w:rPr>
          <w:rFonts w:cstheme="minorHAnsi"/>
          <w:sz w:val="24"/>
          <w:szCs w:val="24"/>
        </w:rPr>
        <w:t>”</w:t>
      </w:r>
    </w:p>
    <w:p w14:paraId="45A1EFD4" w14:textId="3C2F56F6" w:rsidR="0058202F" w:rsidRPr="00476424" w:rsidRDefault="0058202F" w:rsidP="0058202F">
      <w:pPr>
        <w:pStyle w:val="Akapitzlist"/>
        <w:numPr>
          <w:ilvl w:val="0"/>
          <w:numId w:val="10"/>
        </w:numPr>
        <w:spacing w:after="0" w:line="360" w:lineRule="auto"/>
        <w:ind w:left="426"/>
        <w:jc w:val="both"/>
        <w:rPr>
          <w:rFonts w:cstheme="minorHAnsi"/>
          <w:sz w:val="24"/>
          <w:szCs w:val="24"/>
        </w:rPr>
      </w:pPr>
      <w:r w:rsidRPr="00476424">
        <w:rPr>
          <w:rFonts w:cstheme="minorHAnsi"/>
          <w:sz w:val="24"/>
          <w:szCs w:val="24"/>
        </w:rPr>
        <w:t xml:space="preserve">W załączniku nr 3 do SWZ </w:t>
      </w:r>
      <w:r w:rsidR="00734BAD" w:rsidRPr="00476424">
        <w:rPr>
          <w:rFonts w:cstheme="minorHAnsi"/>
          <w:sz w:val="24"/>
          <w:szCs w:val="24"/>
        </w:rPr>
        <w:t xml:space="preserve">„Tabela oceny kryterium „rozwiązania funkcjonalno – ekonomiczne”” </w:t>
      </w:r>
      <w:r w:rsidRPr="00476424">
        <w:rPr>
          <w:rFonts w:cstheme="minorHAnsi"/>
          <w:sz w:val="24"/>
          <w:szCs w:val="24"/>
        </w:rPr>
        <w:t>na końcu tabeli zapis:</w:t>
      </w:r>
    </w:p>
    <w:p w14:paraId="0498FA6F" w14:textId="546E6F48" w:rsidR="0058202F" w:rsidRPr="00476424" w:rsidRDefault="0058202F" w:rsidP="00123A03">
      <w:pPr>
        <w:spacing w:after="0" w:line="360" w:lineRule="auto"/>
        <w:ind w:left="284"/>
        <w:jc w:val="both"/>
        <w:rPr>
          <w:rFonts w:cstheme="minorHAnsi"/>
          <w:sz w:val="24"/>
          <w:szCs w:val="24"/>
        </w:rPr>
      </w:pPr>
      <w:r w:rsidRPr="00476424">
        <w:rPr>
          <w:rFonts w:cstheme="minorHAnsi"/>
          <w:sz w:val="24"/>
          <w:szCs w:val="24"/>
        </w:rPr>
        <w:t>„Maksymalna liczba punktów w kryterium doświadczenie zespołu projektowego”</w:t>
      </w:r>
    </w:p>
    <w:p w14:paraId="1CA59824" w14:textId="117AAB6B" w:rsidR="0058202F" w:rsidRPr="00476424" w:rsidRDefault="00734BAD" w:rsidP="00123A03">
      <w:pPr>
        <w:spacing w:after="0" w:line="360" w:lineRule="auto"/>
        <w:ind w:left="284"/>
        <w:jc w:val="both"/>
        <w:rPr>
          <w:rFonts w:cstheme="minorHAnsi"/>
          <w:sz w:val="24"/>
          <w:szCs w:val="24"/>
        </w:rPr>
      </w:pPr>
      <w:r w:rsidRPr="00476424">
        <w:rPr>
          <w:rFonts w:cstheme="minorHAnsi"/>
          <w:sz w:val="24"/>
          <w:szCs w:val="24"/>
        </w:rPr>
        <w:t>o</w:t>
      </w:r>
      <w:r w:rsidR="0058202F" w:rsidRPr="00476424">
        <w:rPr>
          <w:rFonts w:cstheme="minorHAnsi"/>
          <w:sz w:val="24"/>
          <w:szCs w:val="24"/>
        </w:rPr>
        <w:t>trzymuje brzmienie:</w:t>
      </w:r>
    </w:p>
    <w:p w14:paraId="60A8BF8A" w14:textId="659DCFD4" w:rsidR="0058202F" w:rsidRDefault="0058202F" w:rsidP="00123A03">
      <w:pPr>
        <w:spacing w:after="0" w:line="360" w:lineRule="auto"/>
        <w:ind w:left="284"/>
        <w:jc w:val="both"/>
        <w:rPr>
          <w:rFonts w:cstheme="minorHAnsi"/>
          <w:sz w:val="24"/>
          <w:szCs w:val="24"/>
        </w:rPr>
      </w:pPr>
      <w:r w:rsidRPr="00476424">
        <w:rPr>
          <w:rFonts w:cstheme="minorHAnsi"/>
          <w:sz w:val="24"/>
          <w:szCs w:val="24"/>
        </w:rPr>
        <w:t>„Maksymalna liczba punktów w kryterium rozwiązania funkcjonalno-ekonomiczne”</w:t>
      </w:r>
    </w:p>
    <w:p w14:paraId="76B196ED" w14:textId="443849E1" w:rsidR="00123A03" w:rsidRPr="00123A03" w:rsidRDefault="00123A03" w:rsidP="00123A03">
      <w:pPr>
        <w:spacing w:after="0" w:line="360" w:lineRule="auto"/>
        <w:jc w:val="both"/>
        <w:rPr>
          <w:rFonts w:cstheme="minorHAnsi"/>
          <w:sz w:val="24"/>
          <w:szCs w:val="24"/>
        </w:rPr>
      </w:pPr>
    </w:p>
    <w:p w14:paraId="71884393" w14:textId="77777777" w:rsidR="00E717AD" w:rsidRPr="00476424" w:rsidRDefault="00E717AD" w:rsidP="0058202F">
      <w:pPr>
        <w:spacing w:after="0" w:line="360" w:lineRule="auto"/>
        <w:ind w:left="66"/>
        <w:jc w:val="both"/>
        <w:rPr>
          <w:rFonts w:cstheme="minorHAnsi"/>
          <w:sz w:val="24"/>
          <w:szCs w:val="24"/>
        </w:rPr>
      </w:pPr>
    </w:p>
    <w:p w14:paraId="62D163D9" w14:textId="0A5646C8" w:rsidR="00E717AD" w:rsidRPr="00476424" w:rsidRDefault="00E717AD" w:rsidP="0058202F">
      <w:pPr>
        <w:spacing w:after="0" w:line="360" w:lineRule="auto"/>
        <w:ind w:left="66"/>
        <w:jc w:val="both"/>
        <w:rPr>
          <w:rFonts w:cstheme="minorHAnsi"/>
          <w:sz w:val="24"/>
          <w:szCs w:val="24"/>
          <w:u w:val="single"/>
        </w:rPr>
      </w:pPr>
      <w:r w:rsidRPr="00476424">
        <w:rPr>
          <w:rFonts w:cstheme="minorHAnsi"/>
          <w:sz w:val="24"/>
          <w:szCs w:val="24"/>
          <w:u w:val="single"/>
        </w:rPr>
        <w:t>Jednocześnie zamawiający publikuje:</w:t>
      </w:r>
    </w:p>
    <w:p w14:paraId="74E98ED5" w14:textId="6ED4DC08" w:rsidR="00E717AD" w:rsidRPr="00476424" w:rsidRDefault="005F011A" w:rsidP="00E717AD">
      <w:pPr>
        <w:pStyle w:val="Akapitzlist"/>
        <w:numPr>
          <w:ilvl w:val="0"/>
          <w:numId w:val="11"/>
        </w:numPr>
        <w:spacing w:after="0" w:line="360" w:lineRule="auto"/>
        <w:jc w:val="both"/>
        <w:rPr>
          <w:rFonts w:cstheme="minorHAnsi"/>
          <w:sz w:val="24"/>
          <w:szCs w:val="24"/>
        </w:rPr>
      </w:pPr>
      <w:r>
        <w:rPr>
          <w:rFonts w:cstheme="minorHAnsi"/>
          <w:sz w:val="24"/>
          <w:szCs w:val="24"/>
        </w:rPr>
        <w:t>U</w:t>
      </w:r>
      <w:r w:rsidRPr="005F011A">
        <w:rPr>
          <w:rFonts w:cstheme="minorHAnsi"/>
          <w:sz w:val="24"/>
          <w:szCs w:val="24"/>
        </w:rPr>
        <w:t>jednoliconą treść</w:t>
      </w:r>
      <w:r w:rsidRPr="00476424">
        <w:rPr>
          <w:rFonts w:cstheme="minorHAnsi"/>
          <w:sz w:val="24"/>
          <w:szCs w:val="24"/>
        </w:rPr>
        <w:t xml:space="preserve"> </w:t>
      </w:r>
      <w:r w:rsidR="00E717AD" w:rsidRPr="00476424">
        <w:rPr>
          <w:rFonts w:cstheme="minorHAnsi"/>
          <w:sz w:val="24"/>
          <w:szCs w:val="24"/>
        </w:rPr>
        <w:t>Specyfikacji warunków zamówienia,</w:t>
      </w:r>
    </w:p>
    <w:p w14:paraId="315104B9" w14:textId="55E8DC27" w:rsidR="00E717AD" w:rsidRDefault="00E717AD" w:rsidP="00E717AD">
      <w:pPr>
        <w:pStyle w:val="Akapitzlist"/>
        <w:numPr>
          <w:ilvl w:val="0"/>
          <w:numId w:val="11"/>
        </w:numPr>
        <w:spacing w:after="0" w:line="360" w:lineRule="auto"/>
        <w:jc w:val="both"/>
        <w:rPr>
          <w:rFonts w:cstheme="minorHAnsi"/>
          <w:sz w:val="24"/>
          <w:szCs w:val="24"/>
        </w:rPr>
      </w:pPr>
      <w:r w:rsidRPr="00476424">
        <w:rPr>
          <w:rFonts w:cstheme="minorHAnsi"/>
          <w:sz w:val="24"/>
          <w:szCs w:val="24"/>
        </w:rPr>
        <w:t xml:space="preserve">Załącznik </w:t>
      </w:r>
      <w:r w:rsidR="008C5045">
        <w:rPr>
          <w:rFonts w:cstheme="minorHAnsi"/>
          <w:sz w:val="24"/>
          <w:szCs w:val="24"/>
        </w:rPr>
        <w:t>nr</w:t>
      </w:r>
      <w:r w:rsidRPr="00476424">
        <w:rPr>
          <w:rFonts w:cstheme="minorHAnsi"/>
          <w:sz w:val="24"/>
          <w:szCs w:val="24"/>
        </w:rPr>
        <w:t xml:space="preserve"> 3 do SWZ - „Tabela oceny kryterium „rozwiązania funkcjonalno – ekonomiczne””</w:t>
      </w:r>
      <w:r w:rsidR="005F011A">
        <w:rPr>
          <w:rFonts w:cstheme="minorHAnsi"/>
          <w:sz w:val="24"/>
          <w:szCs w:val="24"/>
        </w:rPr>
        <w:t>, w poprawionej treści,</w:t>
      </w:r>
    </w:p>
    <w:p w14:paraId="2D49840D" w14:textId="6FD4E883" w:rsidR="005F011A" w:rsidRDefault="005F011A" w:rsidP="00E717AD">
      <w:pPr>
        <w:pStyle w:val="Akapitzlist"/>
        <w:numPr>
          <w:ilvl w:val="0"/>
          <w:numId w:val="11"/>
        </w:numPr>
        <w:spacing w:after="0" w:line="360" w:lineRule="auto"/>
        <w:jc w:val="both"/>
        <w:rPr>
          <w:rFonts w:cstheme="minorHAnsi"/>
          <w:sz w:val="24"/>
          <w:szCs w:val="24"/>
        </w:rPr>
      </w:pPr>
      <w:r>
        <w:rPr>
          <w:rFonts w:eastAsiaTheme="majorEastAsia" w:cstheme="minorHAnsi"/>
          <w:color w:val="272727" w:themeColor="text1" w:themeTint="D8"/>
          <w:szCs w:val="24"/>
        </w:rPr>
        <w:t>M</w:t>
      </w:r>
      <w:r w:rsidRPr="0014173B">
        <w:rPr>
          <w:rFonts w:eastAsiaTheme="majorEastAsia" w:cstheme="minorHAnsi"/>
          <w:color w:val="272727" w:themeColor="text1" w:themeTint="D8"/>
          <w:szCs w:val="24"/>
        </w:rPr>
        <w:t>apę zasadniczą w formacie .dxf</w:t>
      </w:r>
      <w:r>
        <w:rPr>
          <w:rFonts w:eastAsiaTheme="majorEastAsia" w:cstheme="minorHAnsi"/>
          <w:color w:val="272727" w:themeColor="text1" w:themeTint="D8"/>
          <w:szCs w:val="24"/>
        </w:rPr>
        <w:t xml:space="preserve"> (plik - Warstwy.dxf)</w:t>
      </w:r>
      <w:r>
        <w:rPr>
          <w:rFonts w:eastAsiaTheme="majorEastAsia" w:cstheme="minorHAnsi"/>
          <w:color w:val="272727" w:themeColor="text1" w:themeTint="D8"/>
          <w:szCs w:val="24"/>
        </w:rPr>
        <w:t>.</w:t>
      </w:r>
    </w:p>
    <w:p w14:paraId="532BCA06" w14:textId="77777777" w:rsidR="0014173B" w:rsidRDefault="0014173B" w:rsidP="0014173B">
      <w:pPr>
        <w:spacing w:after="0" w:line="360" w:lineRule="auto"/>
        <w:ind w:left="66"/>
        <w:jc w:val="both"/>
        <w:rPr>
          <w:rFonts w:cstheme="minorHAnsi"/>
          <w:sz w:val="24"/>
          <w:szCs w:val="24"/>
        </w:rPr>
      </w:pPr>
    </w:p>
    <w:p w14:paraId="18ACC3DB" w14:textId="77777777" w:rsidR="00700431" w:rsidRDefault="00700431" w:rsidP="0014173B">
      <w:pPr>
        <w:spacing w:after="0" w:line="360" w:lineRule="auto"/>
        <w:ind w:left="66"/>
        <w:jc w:val="both"/>
        <w:rPr>
          <w:rFonts w:cstheme="minorHAnsi"/>
          <w:sz w:val="24"/>
          <w:szCs w:val="24"/>
        </w:rPr>
      </w:pPr>
    </w:p>
    <w:p w14:paraId="408F0E4B" w14:textId="77777777" w:rsidR="0014173B" w:rsidRPr="00700431" w:rsidRDefault="0014173B" w:rsidP="0014173B">
      <w:pPr>
        <w:spacing w:after="0" w:line="360" w:lineRule="auto"/>
        <w:ind w:left="66"/>
        <w:jc w:val="both"/>
        <w:rPr>
          <w:rFonts w:cstheme="minorHAnsi"/>
          <w:sz w:val="24"/>
          <w:szCs w:val="24"/>
          <w:u w:val="single"/>
        </w:rPr>
      </w:pPr>
      <w:r w:rsidRPr="00700431">
        <w:rPr>
          <w:rFonts w:cstheme="minorHAnsi"/>
          <w:sz w:val="24"/>
          <w:szCs w:val="24"/>
          <w:u w:val="single"/>
        </w:rPr>
        <w:t>Uwaga:</w:t>
      </w:r>
    </w:p>
    <w:p w14:paraId="080D9739" w14:textId="73A2E377" w:rsidR="0014173B" w:rsidRPr="0014173B" w:rsidRDefault="0014173B" w:rsidP="0014173B">
      <w:pPr>
        <w:spacing w:after="0" w:line="360" w:lineRule="auto"/>
        <w:ind w:left="66"/>
        <w:jc w:val="both"/>
        <w:rPr>
          <w:rFonts w:cstheme="minorHAnsi"/>
          <w:sz w:val="24"/>
          <w:szCs w:val="24"/>
        </w:rPr>
      </w:pPr>
      <w:r>
        <w:rPr>
          <w:rFonts w:cstheme="minorHAnsi"/>
          <w:sz w:val="24"/>
          <w:szCs w:val="24"/>
        </w:rPr>
        <w:t>Zamawiający podkreśla informację, że m</w:t>
      </w:r>
      <w:r w:rsidRPr="0014173B">
        <w:rPr>
          <w:rFonts w:cstheme="minorHAnsi"/>
          <w:sz w:val="24"/>
          <w:szCs w:val="24"/>
        </w:rPr>
        <w:t xml:space="preserve">aksymalny łączny rozmiar plików stanowiących ofertę lub składanych wraz z ofertą </w:t>
      </w:r>
      <w:r w:rsidR="00700431">
        <w:rPr>
          <w:rFonts w:cstheme="minorHAnsi"/>
          <w:sz w:val="24"/>
          <w:szCs w:val="24"/>
        </w:rPr>
        <w:t xml:space="preserve">poprzez </w:t>
      </w:r>
      <w:hyperlink r:id="rId12" w:history="1">
        <w:r w:rsidR="00700431" w:rsidRPr="006E3476">
          <w:rPr>
            <w:rStyle w:val="Hipercze"/>
            <w:rFonts w:cstheme="minorHAnsi"/>
            <w:sz w:val="24"/>
            <w:szCs w:val="24"/>
          </w:rPr>
          <w:t>https://ezamowienia.gov.pl</w:t>
        </w:r>
      </w:hyperlink>
      <w:r w:rsidR="00700431">
        <w:rPr>
          <w:rFonts w:cstheme="minorHAnsi"/>
          <w:sz w:val="24"/>
          <w:szCs w:val="24"/>
        </w:rPr>
        <w:t xml:space="preserve"> </w:t>
      </w:r>
      <w:r w:rsidRPr="0014173B">
        <w:rPr>
          <w:rFonts w:cstheme="minorHAnsi"/>
          <w:sz w:val="24"/>
          <w:szCs w:val="24"/>
        </w:rPr>
        <w:t>to 250 MB</w:t>
      </w:r>
      <w:r>
        <w:rPr>
          <w:rFonts w:cstheme="minorHAnsi"/>
          <w:sz w:val="24"/>
          <w:szCs w:val="24"/>
        </w:rPr>
        <w:t xml:space="preserve">. </w:t>
      </w:r>
    </w:p>
    <w:p w14:paraId="092DC6DB" w14:textId="77777777" w:rsidR="0058202F" w:rsidRPr="00476424" w:rsidRDefault="0058202F" w:rsidP="0058202F">
      <w:pPr>
        <w:pStyle w:val="Akapitzlist"/>
        <w:spacing w:after="0" w:line="360" w:lineRule="auto"/>
        <w:ind w:left="426"/>
        <w:jc w:val="both"/>
        <w:rPr>
          <w:rFonts w:cstheme="minorHAnsi"/>
          <w:sz w:val="24"/>
          <w:szCs w:val="24"/>
        </w:rPr>
      </w:pPr>
    </w:p>
    <w:p w14:paraId="1BDA25D7" w14:textId="77777777" w:rsidR="00DA5484" w:rsidRPr="00476424" w:rsidRDefault="00DA5484" w:rsidP="00436D3E">
      <w:pPr>
        <w:spacing w:after="0" w:line="360" w:lineRule="auto"/>
        <w:jc w:val="both"/>
        <w:rPr>
          <w:rFonts w:cstheme="minorHAnsi"/>
          <w:b/>
          <w:bCs/>
          <w:sz w:val="24"/>
          <w:szCs w:val="24"/>
        </w:rPr>
      </w:pPr>
    </w:p>
    <w:p w14:paraId="509C4B33" w14:textId="77777777" w:rsidR="00F9739F" w:rsidRPr="00476424" w:rsidRDefault="00F9739F" w:rsidP="00436D3E">
      <w:pPr>
        <w:spacing w:after="0" w:line="360" w:lineRule="auto"/>
        <w:jc w:val="both"/>
        <w:rPr>
          <w:rFonts w:cstheme="minorHAnsi"/>
          <w:b/>
          <w:bCs/>
          <w:sz w:val="24"/>
          <w:szCs w:val="24"/>
        </w:rPr>
      </w:pPr>
    </w:p>
    <w:p w14:paraId="7CCF4848" w14:textId="77777777" w:rsidR="00AF0A54" w:rsidRPr="00476424" w:rsidRDefault="00AF0A54">
      <w:pPr>
        <w:rPr>
          <w:rFonts w:cstheme="minorHAnsi"/>
          <w:sz w:val="24"/>
          <w:szCs w:val="24"/>
        </w:rPr>
      </w:pPr>
    </w:p>
    <w:p w14:paraId="11D2904C" w14:textId="4995C72D" w:rsidR="005622F3" w:rsidRPr="00476424" w:rsidRDefault="005622F3" w:rsidP="0084186A">
      <w:pPr>
        <w:ind w:left="426"/>
        <w:rPr>
          <w:rFonts w:cstheme="minorHAnsi"/>
          <w:sz w:val="24"/>
          <w:szCs w:val="24"/>
        </w:rPr>
      </w:pPr>
    </w:p>
    <w:sectPr w:rsidR="005622F3" w:rsidRPr="00476424" w:rsidSect="00F86D1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D217" w14:textId="77777777" w:rsidR="002A4C8C" w:rsidRDefault="002A4C8C" w:rsidP="002A4C8C">
      <w:pPr>
        <w:spacing w:after="0" w:line="240" w:lineRule="auto"/>
      </w:pPr>
      <w:r>
        <w:separator/>
      </w:r>
    </w:p>
  </w:endnote>
  <w:endnote w:type="continuationSeparator" w:id="0">
    <w:p w14:paraId="70C78788" w14:textId="77777777" w:rsidR="002A4C8C" w:rsidRDefault="002A4C8C" w:rsidP="002A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5970281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BFB90D9" w14:textId="0878A10B" w:rsidR="002A4C8C" w:rsidRPr="002A4C8C" w:rsidRDefault="002A4C8C">
            <w:pPr>
              <w:pStyle w:val="Stopka"/>
              <w:jc w:val="right"/>
              <w:rPr>
                <w:sz w:val="18"/>
                <w:szCs w:val="18"/>
              </w:rPr>
            </w:pPr>
            <w:r w:rsidRPr="002A4C8C">
              <w:rPr>
                <w:sz w:val="18"/>
                <w:szCs w:val="18"/>
              </w:rPr>
              <w:t xml:space="preserve">Strona </w:t>
            </w:r>
            <w:r w:rsidRPr="002A4C8C">
              <w:rPr>
                <w:b/>
                <w:bCs/>
                <w:sz w:val="20"/>
                <w:szCs w:val="20"/>
              </w:rPr>
              <w:fldChar w:fldCharType="begin"/>
            </w:r>
            <w:r w:rsidRPr="002A4C8C">
              <w:rPr>
                <w:b/>
                <w:bCs/>
                <w:sz w:val="18"/>
                <w:szCs w:val="18"/>
              </w:rPr>
              <w:instrText>PAGE</w:instrText>
            </w:r>
            <w:r w:rsidRPr="002A4C8C">
              <w:rPr>
                <w:b/>
                <w:bCs/>
                <w:sz w:val="20"/>
                <w:szCs w:val="20"/>
              </w:rPr>
              <w:fldChar w:fldCharType="separate"/>
            </w:r>
            <w:r w:rsidRPr="002A4C8C">
              <w:rPr>
                <w:b/>
                <w:bCs/>
                <w:sz w:val="18"/>
                <w:szCs w:val="18"/>
              </w:rPr>
              <w:t>2</w:t>
            </w:r>
            <w:r w:rsidRPr="002A4C8C">
              <w:rPr>
                <w:b/>
                <w:bCs/>
                <w:sz w:val="20"/>
                <w:szCs w:val="20"/>
              </w:rPr>
              <w:fldChar w:fldCharType="end"/>
            </w:r>
            <w:r w:rsidRPr="002A4C8C">
              <w:rPr>
                <w:sz w:val="18"/>
                <w:szCs w:val="18"/>
              </w:rPr>
              <w:t xml:space="preserve"> z </w:t>
            </w:r>
            <w:r w:rsidRPr="002A4C8C">
              <w:rPr>
                <w:b/>
                <w:bCs/>
                <w:sz w:val="20"/>
                <w:szCs w:val="20"/>
              </w:rPr>
              <w:fldChar w:fldCharType="begin"/>
            </w:r>
            <w:r w:rsidRPr="002A4C8C">
              <w:rPr>
                <w:b/>
                <w:bCs/>
                <w:sz w:val="18"/>
                <w:szCs w:val="18"/>
              </w:rPr>
              <w:instrText>NUMPAGES</w:instrText>
            </w:r>
            <w:r w:rsidRPr="002A4C8C">
              <w:rPr>
                <w:b/>
                <w:bCs/>
                <w:sz w:val="20"/>
                <w:szCs w:val="20"/>
              </w:rPr>
              <w:fldChar w:fldCharType="separate"/>
            </w:r>
            <w:r w:rsidRPr="002A4C8C">
              <w:rPr>
                <w:b/>
                <w:bCs/>
                <w:sz w:val="18"/>
                <w:szCs w:val="18"/>
              </w:rPr>
              <w:t>2</w:t>
            </w:r>
            <w:r w:rsidRPr="002A4C8C">
              <w:rPr>
                <w:b/>
                <w:bCs/>
                <w:sz w:val="20"/>
                <w:szCs w:val="20"/>
              </w:rPr>
              <w:fldChar w:fldCharType="end"/>
            </w:r>
          </w:p>
        </w:sdtContent>
      </w:sdt>
    </w:sdtContent>
  </w:sdt>
  <w:p w14:paraId="67E830B9" w14:textId="77777777" w:rsidR="002A4C8C" w:rsidRDefault="002A4C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4175" w14:textId="77777777" w:rsidR="002A4C8C" w:rsidRDefault="002A4C8C" w:rsidP="002A4C8C">
      <w:pPr>
        <w:spacing w:after="0" w:line="240" w:lineRule="auto"/>
      </w:pPr>
      <w:r>
        <w:separator/>
      </w:r>
    </w:p>
  </w:footnote>
  <w:footnote w:type="continuationSeparator" w:id="0">
    <w:p w14:paraId="2B14E419" w14:textId="77777777" w:rsidR="002A4C8C" w:rsidRDefault="002A4C8C" w:rsidP="002A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4105" w14:textId="77777777" w:rsidR="00F86D16" w:rsidRPr="00A26C2D" w:rsidRDefault="00F86D16" w:rsidP="00F86D16">
    <w:pPr>
      <w:pStyle w:val="Nagwek"/>
      <w:tabs>
        <w:tab w:val="clear" w:pos="9072"/>
        <w:tab w:val="right" w:pos="9070"/>
      </w:tabs>
      <w:spacing w:before="40" w:after="40"/>
      <w:jc w:val="center"/>
      <w:rPr>
        <w:color w:val="000000"/>
        <w:sz w:val="20"/>
        <w:szCs w:val="20"/>
      </w:rPr>
    </w:pPr>
    <w:bookmarkStart w:id="3" w:name="_Hlk147130234"/>
    <w:bookmarkStart w:id="4" w:name="_Hlk147130235"/>
    <w:bookmarkStart w:id="5" w:name="_Hlk147134487"/>
    <w:bookmarkStart w:id="6" w:name="_Hlk147134488"/>
    <w:r w:rsidRPr="00A26C2D">
      <w:rPr>
        <w:color w:val="000000"/>
        <w:sz w:val="20"/>
        <w:szCs w:val="20"/>
      </w:rPr>
      <w:t>ZP-A.271.81.258.2022</w:t>
    </w:r>
  </w:p>
  <w:p w14:paraId="500B1E4E" w14:textId="77777777" w:rsidR="00F86D16" w:rsidRPr="00A26C2D" w:rsidRDefault="00F86D16" w:rsidP="00F86D16">
    <w:pPr>
      <w:pStyle w:val="Nagwek"/>
      <w:tabs>
        <w:tab w:val="clear" w:pos="9072"/>
        <w:tab w:val="right" w:pos="9070"/>
      </w:tabs>
      <w:spacing w:after="240"/>
      <w:jc w:val="center"/>
      <w:rPr>
        <w:color w:val="000000"/>
        <w:sz w:val="20"/>
        <w:szCs w:val="20"/>
      </w:rPr>
    </w:pPr>
    <w:bookmarkStart w:id="7" w:name="_Hlk118115673"/>
    <w:bookmarkStart w:id="8" w:name="_Hlk118115674"/>
    <w:r w:rsidRPr="00A26C2D">
      <w:rPr>
        <w:i/>
        <w:color w:val="000000"/>
        <w:sz w:val="20"/>
        <w:szCs w:val="20"/>
      </w:rPr>
      <w:t>Opracowanie dokumentacji projektowej dla zadania pn.: „Budowa parku wodnego w Rzeszowie”</w:t>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D7A"/>
    <w:multiLevelType w:val="hybridMultilevel"/>
    <w:tmpl w:val="E3388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D5679"/>
    <w:multiLevelType w:val="hybridMultilevel"/>
    <w:tmpl w:val="798A0756"/>
    <w:lvl w:ilvl="0" w:tplc="C25CD6A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7F5242"/>
    <w:multiLevelType w:val="hybridMultilevel"/>
    <w:tmpl w:val="95D80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CC1241"/>
    <w:multiLevelType w:val="hybridMultilevel"/>
    <w:tmpl w:val="05A4CDDA"/>
    <w:lvl w:ilvl="0" w:tplc="56E87F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CC2403"/>
    <w:multiLevelType w:val="hybridMultilevel"/>
    <w:tmpl w:val="6056297E"/>
    <w:lvl w:ilvl="0" w:tplc="AA62172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2E831037"/>
    <w:multiLevelType w:val="hybridMultilevel"/>
    <w:tmpl w:val="6B704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A1328D"/>
    <w:multiLevelType w:val="hybridMultilevel"/>
    <w:tmpl w:val="532E7D5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597A87"/>
    <w:multiLevelType w:val="hybridMultilevel"/>
    <w:tmpl w:val="D7EE4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8368DE"/>
    <w:multiLevelType w:val="hybridMultilevel"/>
    <w:tmpl w:val="BA2487D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61652844"/>
    <w:multiLevelType w:val="hybridMultilevel"/>
    <w:tmpl w:val="F0D49F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E27686B"/>
    <w:multiLevelType w:val="hybridMultilevel"/>
    <w:tmpl w:val="5AFAA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1329387">
    <w:abstractNumId w:val="0"/>
  </w:num>
  <w:num w:numId="2" w16cid:durableId="1962564561">
    <w:abstractNumId w:val="5"/>
  </w:num>
  <w:num w:numId="3" w16cid:durableId="209607840">
    <w:abstractNumId w:val="6"/>
  </w:num>
  <w:num w:numId="4" w16cid:durableId="1502820277">
    <w:abstractNumId w:val="7"/>
  </w:num>
  <w:num w:numId="5" w16cid:durableId="2143619486">
    <w:abstractNumId w:val="3"/>
  </w:num>
  <w:num w:numId="6" w16cid:durableId="2071728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536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151734">
    <w:abstractNumId w:val="10"/>
  </w:num>
  <w:num w:numId="9" w16cid:durableId="91065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673100">
    <w:abstractNumId w:val="2"/>
  </w:num>
  <w:num w:numId="11" w16cid:durableId="118887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3B"/>
    <w:rsid w:val="000122A8"/>
    <w:rsid w:val="00063A7C"/>
    <w:rsid w:val="00063DBF"/>
    <w:rsid w:val="00092561"/>
    <w:rsid w:val="00096F4B"/>
    <w:rsid w:val="000E3FF0"/>
    <w:rsid w:val="000E786F"/>
    <w:rsid w:val="000F6839"/>
    <w:rsid w:val="00123A03"/>
    <w:rsid w:val="0014173B"/>
    <w:rsid w:val="001840C5"/>
    <w:rsid w:val="001A0BD5"/>
    <w:rsid w:val="001A7539"/>
    <w:rsid w:val="001D040B"/>
    <w:rsid w:val="001D5ACE"/>
    <w:rsid w:val="001E1099"/>
    <w:rsid w:val="001E66A5"/>
    <w:rsid w:val="001E67D6"/>
    <w:rsid w:val="001F0BBE"/>
    <w:rsid w:val="001F627E"/>
    <w:rsid w:val="00246F45"/>
    <w:rsid w:val="002716E1"/>
    <w:rsid w:val="0028025A"/>
    <w:rsid w:val="002A4C8C"/>
    <w:rsid w:val="002E339C"/>
    <w:rsid w:val="00310BB0"/>
    <w:rsid w:val="00350B81"/>
    <w:rsid w:val="0035166F"/>
    <w:rsid w:val="00362CBF"/>
    <w:rsid w:val="003906E3"/>
    <w:rsid w:val="003A5080"/>
    <w:rsid w:val="003C0F7F"/>
    <w:rsid w:val="003C251D"/>
    <w:rsid w:val="003D321E"/>
    <w:rsid w:val="0042723A"/>
    <w:rsid w:val="00436D3E"/>
    <w:rsid w:val="00444B76"/>
    <w:rsid w:val="00476424"/>
    <w:rsid w:val="00483A30"/>
    <w:rsid w:val="004A0FE2"/>
    <w:rsid w:val="004C5067"/>
    <w:rsid w:val="004D3AAD"/>
    <w:rsid w:val="004D512B"/>
    <w:rsid w:val="0052727C"/>
    <w:rsid w:val="00530900"/>
    <w:rsid w:val="005622F3"/>
    <w:rsid w:val="00565B7F"/>
    <w:rsid w:val="00567444"/>
    <w:rsid w:val="0058202F"/>
    <w:rsid w:val="005D6218"/>
    <w:rsid w:val="005E6F38"/>
    <w:rsid w:val="005E79AF"/>
    <w:rsid w:val="005F011A"/>
    <w:rsid w:val="00602D2B"/>
    <w:rsid w:val="006056F1"/>
    <w:rsid w:val="00620742"/>
    <w:rsid w:val="006557E2"/>
    <w:rsid w:val="00661B2E"/>
    <w:rsid w:val="006858C2"/>
    <w:rsid w:val="00686208"/>
    <w:rsid w:val="006A2CF7"/>
    <w:rsid w:val="006C0BE8"/>
    <w:rsid w:val="006C35A0"/>
    <w:rsid w:val="00700431"/>
    <w:rsid w:val="007122D6"/>
    <w:rsid w:val="00734BAD"/>
    <w:rsid w:val="007C339F"/>
    <w:rsid w:val="0082476E"/>
    <w:rsid w:val="0083302E"/>
    <w:rsid w:val="0084186A"/>
    <w:rsid w:val="008639AC"/>
    <w:rsid w:val="008670B4"/>
    <w:rsid w:val="00870115"/>
    <w:rsid w:val="00876B8D"/>
    <w:rsid w:val="00876C62"/>
    <w:rsid w:val="00877B22"/>
    <w:rsid w:val="00881DCA"/>
    <w:rsid w:val="00883945"/>
    <w:rsid w:val="008A14DA"/>
    <w:rsid w:val="008C5045"/>
    <w:rsid w:val="008C7426"/>
    <w:rsid w:val="008C7469"/>
    <w:rsid w:val="008D4110"/>
    <w:rsid w:val="008E23B8"/>
    <w:rsid w:val="008F4E19"/>
    <w:rsid w:val="00905CF8"/>
    <w:rsid w:val="00910D3A"/>
    <w:rsid w:val="0093231C"/>
    <w:rsid w:val="00936027"/>
    <w:rsid w:val="00941495"/>
    <w:rsid w:val="009532E6"/>
    <w:rsid w:val="00964750"/>
    <w:rsid w:val="00974AFD"/>
    <w:rsid w:val="00975F0D"/>
    <w:rsid w:val="009A0303"/>
    <w:rsid w:val="009D1E3C"/>
    <w:rsid w:val="009F5015"/>
    <w:rsid w:val="009F68E2"/>
    <w:rsid w:val="00A0503A"/>
    <w:rsid w:val="00A11BBF"/>
    <w:rsid w:val="00A32DCE"/>
    <w:rsid w:val="00A34CE1"/>
    <w:rsid w:val="00A35616"/>
    <w:rsid w:val="00A4614C"/>
    <w:rsid w:val="00A7591F"/>
    <w:rsid w:val="00A76A10"/>
    <w:rsid w:val="00AB3287"/>
    <w:rsid w:val="00AF0A54"/>
    <w:rsid w:val="00B12ECF"/>
    <w:rsid w:val="00B34C81"/>
    <w:rsid w:val="00B546AC"/>
    <w:rsid w:val="00B7476B"/>
    <w:rsid w:val="00B77BE0"/>
    <w:rsid w:val="00B8058D"/>
    <w:rsid w:val="00B93223"/>
    <w:rsid w:val="00BA0744"/>
    <w:rsid w:val="00BA34F3"/>
    <w:rsid w:val="00BB7B63"/>
    <w:rsid w:val="00BE02F7"/>
    <w:rsid w:val="00C0684C"/>
    <w:rsid w:val="00C37785"/>
    <w:rsid w:val="00C4515F"/>
    <w:rsid w:val="00C63AB9"/>
    <w:rsid w:val="00CA50F3"/>
    <w:rsid w:val="00CE2BC3"/>
    <w:rsid w:val="00D13D77"/>
    <w:rsid w:val="00D17340"/>
    <w:rsid w:val="00D204FD"/>
    <w:rsid w:val="00D46F31"/>
    <w:rsid w:val="00D619D5"/>
    <w:rsid w:val="00D64000"/>
    <w:rsid w:val="00D724C3"/>
    <w:rsid w:val="00DA5484"/>
    <w:rsid w:val="00DA7613"/>
    <w:rsid w:val="00DE0120"/>
    <w:rsid w:val="00DE4979"/>
    <w:rsid w:val="00E04BDB"/>
    <w:rsid w:val="00E1353B"/>
    <w:rsid w:val="00E551E3"/>
    <w:rsid w:val="00E62D5D"/>
    <w:rsid w:val="00E717AD"/>
    <w:rsid w:val="00E72F28"/>
    <w:rsid w:val="00E76762"/>
    <w:rsid w:val="00EB05C7"/>
    <w:rsid w:val="00EC61D2"/>
    <w:rsid w:val="00EF295F"/>
    <w:rsid w:val="00F063D5"/>
    <w:rsid w:val="00F8302F"/>
    <w:rsid w:val="00F86D16"/>
    <w:rsid w:val="00F95316"/>
    <w:rsid w:val="00F9739F"/>
    <w:rsid w:val="00FA4EC8"/>
    <w:rsid w:val="00FC5D0C"/>
    <w:rsid w:val="00FC7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8825"/>
  <w15:chartTrackingRefBased/>
  <w15:docId w15:val="{55F0F4CB-95BE-4553-AB49-49C21B10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3D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6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sia 2  Akapit z listą,tekst normalny,CW_Lista,Odstavec,normalny tekst,L1,Numerowanie,2 heading,A_wyliczenie,K-P_odwolanie,Akapit z listą5,maz_wyliczenie,opis dzialania,BulletC,Obiekt,List Paragraph,Wyliczanie,Wypunktowanie,Nagłowek 3"/>
    <w:basedOn w:val="Normalny"/>
    <w:link w:val="AkapitzlistZnak"/>
    <w:uiPriority w:val="34"/>
    <w:qFormat/>
    <w:rsid w:val="005622F3"/>
    <w:pPr>
      <w:ind w:left="720"/>
      <w:contextualSpacing/>
    </w:pPr>
  </w:style>
  <w:style w:type="paragraph" w:styleId="Nagwek">
    <w:name w:val="header"/>
    <w:basedOn w:val="Normalny"/>
    <w:link w:val="NagwekZnak"/>
    <w:unhideWhenUsed/>
    <w:rsid w:val="002A4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4C8C"/>
  </w:style>
  <w:style w:type="paragraph" w:styleId="Stopka">
    <w:name w:val="footer"/>
    <w:basedOn w:val="Normalny"/>
    <w:link w:val="StopkaZnak"/>
    <w:uiPriority w:val="99"/>
    <w:unhideWhenUsed/>
    <w:rsid w:val="002A4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4C8C"/>
  </w:style>
  <w:style w:type="character" w:customStyle="1" w:styleId="AkapitzlistZnak">
    <w:name w:val="Akapit z listą Znak"/>
    <w:aliases w:val="Asia 2  Akapit z listą Znak,tekst normalny Znak,CW_Lista Znak,Odstavec Znak,normalny tekst Znak,L1 Znak,Numerowanie Znak,2 heading Znak,A_wyliczenie Znak,K-P_odwolanie Znak,Akapit z listą5 Znak,maz_wyliczenie Znak,opis dzialania Znak"/>
    <w:link w:val="Akapitzlist"/>
    <w:uiPriority w:val="34"/>
    <w:qFormat/>
    <w:locked/>
    <w:rsid w:val="005D6218"/>
  </w:style>
  <w:style w:type="character" w:customStyle="1" w:styleId="Bodytext2">
    <w:name w:val="Body text (2)_"/>
    <w:basedOn w:val="Domylnaczcionkaakapitu"/>
    <w:link w:val="Bodytext20"/>
    <w:rsid w:val="006A2CF7"/>
    <w:rPr>
      <w:rFonts w:ascii="Arial" w:eastAsia="Arial" w:hAnsi="Arial" w:cs="Arial"/>
      <w:sz w:val="20"/>
      <w:szCs w:val="20"/>
      <w:shd w:val="clear" w:color="auto" w:fill="FFFFFF"/>
    </w:rPr>
  </w:style>
  <w:style w:type="paragraph" w:customStyle="1" w:styleId="Bodytext20">
    <w:name w:val="Body text (2)"/>
    <w:basedOn w:val="Normalny"/>
    <w:link w:val="Bodytext2"/>
    <w:rsid w:val="006A2CF7"/>
    <w:pPr>
      <w:widowControl w:val="0"/>
      <w:shd w:val="clear" w:color="auto" w:fill="FFFFFF"/>
      <w:spacing w:before="180" w:after="480" w:line="227" w:lineRule="exact"/>
      <w:ind w:hanging="720"/>
      <w:jc w:val="both"/>
    </w:pPr>
    <w:rPr>
      <w:rFonts w:ascii="Arial" w:eastAsia="Arial" w:hAnsi="Arial" w:cs="Arial"/>
      <w:sz w:val="20"/>
      <w:szCs w:val="20"/>
    </w:rPr>
  </w:style>
  <w:style w:type="paragraph" w:customStyle="1" w:styleId="Bezodstpw1">
    <w:name w:val="Bez odstępów1"/>
    <w:rsid w:val="006C0BE8"/>
    <w:pPr>
      <w:spacing w:after="0" w:line="240" w:lineRule="auto"/>
      <w:jc w:val="both"/>
    </w:pPr>
    <w:rPr>
      <w:rFonts w:ascii="Times New Roman" w:eastAsia="Times New Roman" w:hAnsi="Times New Roman" w:cs="Times New Roman"/>
      <w:kern w:val="0"/>
      <w:sz w:val="24"/>
      <w14:ligatures w14:val="none"/>
    </w:rPr>
  </w:style>
  <w:style w:type="character" w:styleId="Hipercze">
    <w:name w:val="Hyperlink"/>
    <w:basedOn w:val="Domylnaczcionkaakapitu"/>
    <w:uiPriority w:val="99"/>
    <w:unhideWhenUsed/>
    <w:rsid w:val="0058202F"/>
    <w:rPr>
      <w:color w:val="0563C1" w:themeColor="hyperlink"/>
      <w:u w:val="single"/>
    </w:rPr>
  </w:style>
  <w:style w:type="character" w:styleId="Nierozpoznanawzmianka">
    <w:name w:val="Unresolved Mention"/>
    <w:basedOn w:val="Domylnaczcionkaakapitu"/>
    <w:uiPriority w:val="99"/>
    <w:semiHidden/>
    <w:unhideWhenUsed/>
    <w:rsid w:val="0058202F"/>
    <w:rPr>
      <w:color w:val="605E5C"/>
      <w:shd w:val="clear" w:color="auto" w:fill="E1DFDD"/>
    </w:rPr>
  </w:style>
  <w:style w:type="paragraph" w:styleId="Bezodstpw">
    <w:name w:val="No Spacing"/>
    <w:uiPriority w:val="99"/>
    <w:qFormat/>
    <w:rsid w:val="00476424"/>
    <w:pPr>
      <w:spacing w:after="0" w:line="240" w:lineRule="auto"/>
      <w:jc w:val="both"/>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724">
      <w:bodyDiv w:val="1"/>
      <w:marLeft w:val="0"/>
      <w:marRight w:val="0"/>
      <w:marTop w:val="0"/>
      <w:marBottom w:val="0"/>
      <w:divBdr>
        <w:top w:val="none" w:sz="0" w:space="0" w:color="auto"/>
        <w:left w:val="none" w:sz="0" w:space="0" w:color="auto"/>
        <w:bottom w:val="none" w:sz="0" w:space="0" w:color="auto"/>
        <w:right w:val="none" w:sz="0" w:space="0" w:color="auto"/>
      </w:divBdr>
    </w:div>
    <w:div w:id="293602533">
      <w:bodyDiv w:val="1"/>
      <w:marLeft w:val="0"/>
      <w:marRight w:val="0"/>
      <w:marTop w:val="0"/>
      <w:marBottom w:val="0"/>
      <w:divBdr>
        <w:top w:val="none" w:sz="0" w:space="0" w:color="auto"/>
        <w:left w:val="none" w:sz="0" w:space="0" w:color="auto"/>
        <w:bottom w:val="none" w:sz="0" w:space="0" w:color="auto"/>
        <w:right w:val="none" w:sz="0" w:space="0" w:color="auto"/>
      </w:divBdr>
    </w:div>
    <w:div w:id="572198106">
      <w:bodyDiv w:val="1"/>
      <w:marLeft w:val="0"/>
      <w:marRight w:val="0"/>
      <w:marTop w:val="0"/>
      <w:marBottom w:val="0"/>
      <w:divBdr>
        <w:top w:val="none" w:sz="0" w:space="0" w:color="auto"/>
        <w:left w:val="none" w:sz="0" w:space="0" w:color="auto"/>
        <w:bottom w:val="none" w:sz="0" w:space="0" w:color="auto"/>
        <w:right w:val="none" w:sz="0" w:space="0" w:color="auto"/>
      </w:divBdr>
    </w:div>
    <w:div w:id="840778235">
      <w:bodyDiv w:val="1"/>
      <w:marLeft w:val="0"/>
      <w:marRight w:val="0"/>
      <w:marTop w:val="0"/>
      <w:marBottom w:val="0"/>
      <w:divBdr>
        <w:top w:val="none" w:sz="0" w:space="0" w:color="auto"/>
        <w:left w:val="none" w:sz="0" w:space="0" w:color="auto"/>
        <w:bottom w:val="none" w:sz="0" w:space="0" w:color="auto"/>
        <w:right w:val="none" w:sz="0" w:space="0" w:color="auto"/>
      </w:divBdr>
    </w:div>
    <w:div w:id="18154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5ba31789-77be-11ed-b4ea-f64d350121d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zamowienia.gov.pl/mp-client/search/list/ocds-148610-5ba31789-77be-11ed-b4ea-f64d350121d2" TargetMode="External"/><Relationship Id="rId4" Type="http://schemas.openxmlformats.org/officeDocument/2006/relationships/settings" Target="settings.xml"/><Relationship Id="rId9" Type="http://schemas.openxmlformats.org/officeDocument/2006/relationships/hyperlink" Target="https://bip.erzeszow.pl/pl/104-zamowienia-publiczne/4914-zamowienia-publiczne-udzielane-na-podstawie-ustawy-prawo-zamowien-publicznych-aktualne/63201-opracowanie-dokumentacji-projektowej-dla-zadania-pn-budowa-parku-wodnego-w-rzeszowie.html?srch=Budowa%20parku%20wodnego%20w%20Rzeszowi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E2D6-C8A6-488E-890B-BA8052DA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9</Pages>
  <Words>3283</Words>
  <Characters>19700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Kopyć Filip</cp:lastModifiedBy>
  <cp:revision>105</cp:revision>
  <cp:lastPrinted>2023-10-26T12:05:00Z</cp:lastPrinted>
  <dcterms:created xsi:type="dcterms:W3CDTF">2023-03-07T09:04:00Z</dcterms:created>
  <dcterms:modified xsi:type="dcterms:W3CDTF">2023-10-26T12:53:00Z</dcterms:modified>
</cp:coreProperties>
</file>