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825E" w14:textId="75B097D7" w:rsidR="009A0146" w:rsidRPr="000B2ECC" w:rsidRDefault="009A0146" w:rsidP="009A0146">
      <w:pPr>
        <w:spacing w:after="0" w:line="240" w:lineRule="auto"/>
        <w:rPr>
          <w:rFonts w:cstheme="minorHAnsi"/>
          <w:sz w:val="24"/>
          <w:szCs w:val="24"/>
        </w:rPr>
      </w:pPr>
      <w:r w:rsidRPr="009A0146">
        <w:rPr>
          <w:rFonts w:cstheme="minorHAnsi"/>
          <w:sz w:val="24"/>
          <w:szCs w:val="24"/>
        </w:rPr>
        <w:t>ZP-D.271.11</w:t>
      </w:r>
      <w:r w:rsidR="00864F50">
        <w:rPr>
          <w:rFonts w:cstheme="minorHAnsi"/>
          <w:sz w:val="24"/>
          <w:szCs w:val="24"/>
        </w:rPr>
        <w:t>6</w:t>
      </w:r>
      <w:r w:rsidRPr="009A0146">
        <w:rPr>
          <w:rFonts w:cstheme="minorHAnsi"/>
          <w:sz w:val="24"/>
          <w:szCs w:val="24"/>
        </w:rPr>
        <w:t>.29</w:t>
      </w:r>
      <w:r w:rsidR="00864F50">
        <w:rPr>
          <w:rFonts w:cstheme="minorHAnsi"/>
          <w:sz w:val="24"/>
          <w:szCs w:val="24"/>
        </w:rPr>
        <w:t>2</w:t>
      </w:r>
      <w:r w:rsidRPr="009A0146">
        <w:rPr>
          <w:rFonts w:cstheme="minorHAnsi"/>
          <w:sz w:val="24"/>
          <w:szCs w:val="24"/>
        </w:rPr>
        <w:t>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           </w:t>
      </w:r>
      <w:r>
        <w:rPr>
          <w:rFonts w:cstheme="minorHAnsi"/>
          <w:sz w:val="24"/>
          <w:szCs w:val="24"/>
        </w:rPr>
        <w:t xml:space="preserve">  </w:t>
      </w:r>
      <w:r w:rsidRPr="000B2ECC">
        <w:rPr>
          <w:rFonts w:cstheme="minorHAnsi"/>
          <w:sz w:val="24"/>
          <w:szCs w:val="24"/>
        </w:rPr>
        <w:t xml:space="preserve"> Rzeszów, </w:t>
      </w:r>
      <w:r>
        <w:rPr>
          <w:rFonts w:cstheme="minorHAnsi"/>
          <w:sz w:val="24"/>
          <w:szCs w:val="24"/>
        </w:rPr>
        <w:t>0</w:t>
      </w:r>
      <w:r w:rsidR="00864F50">
        <w:rPr>
          <w:rFonts w:cstheme="minorHAnsi"/>
          <w:sz w:val="24"/>
          <w:szCs w:val="24"/>
        </w:rPr>
        <w:t>9</w:t>
      </w:r>
      <w:r w:rsidRPr="000B2EC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Pr="000B2ECC">
        <w:rPr>
          <w:rFonts w:cstheme="minorHAnsi"/>
          <w:sz w:val="24"/>
          <w:szCs w:val="24"/>
        </w:rPr>
        <w:t>.2022 r.</w:t>
      </w:r>
    </w:p>
    <w:p w14:paraId="6B713407" w14:textId="77777777" w:rsidR="009A0146" w:rsidRPr="000B2ECC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E5CF40" w14:textId="77777777" w:rsidR="009A0146" w:rsidRPr="000B2EC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4DEFFC90" w14:textId="1CC24862" w:rsidR="009A0146" w:rsidRPr="000B2ECC" w:rsidRDefault="00A14EDF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>ZMIANY TREŚCI SPECYFIKACJI WARUNKÓW ZAMÓWIENIA</w:t>
      </w:r>
      <w:r w:rsidR="00864F50">
        <w:rPr>
          <w:rFonts w:ascii="Calibri" w:eastAsia="Calibri" w:hAnsi="Calibri" w:cs="Calibri"/>
          <w:b/>
          <w:sz w:val="24"/>
          <w:szCs w:val="24"/>
        </w:rPr>
        <w:t xml:space="preserve"> (SWZ)</w:t>
      </w:r>
    </w:p>
    <w:p w14:paraId="6E134573" w14:textId="77777777" w:rsidR="00344DF8" w:rsidRDefault="00344DF8" w:rsidP="009A0146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ar-SA"/>
        </w:rPr>
      </w:pPr>
    </w:p>
    <w:p w14:paraId="789796D9" w14:textId="6FA6D3AB" w:rsidR="009A0146" w:rsidRPr="009A0146" w:rsidRDefault="009A0146" w:rsidP="009A0146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Pr="009A0146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 xml:space="preserve">Dostawa </w:t>
      </w:r>
      <w:r w:rsidR="00864F50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mięsa drobiowego i wyrobów drobiowych</w:t>
      </w:r>
      <w:r w:rsidRPr="009A0146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 xml:space="preserve"> do Domu Pomocy Społecznej dla Osób Przewlekle Psychicznie Chorych w Rzeszowie.</w:t>
      </w:r>
    </w:p>
    <w:p w14:paraId="6A830D39" w14:textId="77777777" w:rsidR="009A0146" w:rsidRPr="0018623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7C00C603" w14:textId="77777777" w:rsidR="009A0146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15D473" w14:textId="12977AC0" w:rsidR="003A6C48" w:rsidRDefault="00A14EDF" w:rsidP="003A6C48">
      <w:pPr>
        <w:shd w:val="clear" w:color="auto" w:fill="FFFFFF"/>
        <w:tabs>
          <w:tab w:val="left" w:pos="7560"/>
        </w:tabs>
        <w:spacing w:line="276" w:lineRule="auto"/>
        <w:jc w:val="center"/>
        <w:rPr>
          <w:b/>
          <w:bCs/>
        </w:rPr>
      </w:pPr>
      <w:r w:rsidRPr="00A14EDF">
        <w:rPr>
          <w:rFonts w:ascii="Calibri" w:eastAsia="Calibri" w:hAnsi="Calibri" w:cs="Calibri"/>
          <w:sz w:val="24"/>
          <w:szCs w:val="24"/>
        </w:rPr>
        <w:t xml:space="preserve">Na podstawie art. 286 ustawy z dnia 11 września 2019 r. – Prawo zamówień publicznych (tekst jedn.: Dz. U. z 2022 r. poz. 1710 z późn. zm.) zwanej dalej Pzp, Zamawiający publikuje </w:t>
      </w:r>
      <w:r w:rsidR="00864F50">
        <w:rPr>
          <w:rFonts w:ascii="Calibri" w:eastAsia="Calibri" w:hAnsi="Calibri" w:cs="Calibri"/>
          <w:sz w:val="24"/>
          <w:szCs w:val="24"/>
        </w:rPr>
        <w:t>zmiany dotyczące Projektowanych Postanowień Umowy w sprawie zamówienia publiczneg</w:t>
      </w:r>
      <w:r w:rsidR="003A6C48">
        <w:rPr>
          <w:rFonts w:ascii="Calibri" w:eastAsia="Calibri" w:hAnsi="Calibri" w:cs="Calibri"/>
          <w:sz w:val="24"/>
          <w:szCs w:val="24"/>
        </w:rPr>
        <w:t xml:space="preserve">o, tj. </w:t>
      </w:r>
      <w:r w:rsidR="003A6C48" w:rsidRPr="00D96ADB">
        <w:rPr>
          <w:b/>
          <w:bCs/>
        </w:rPr>
        <w:t xml:space="preserve"> § 4</w:t>
      </w:r>
      <w:r w:rsidR="003A6C48">
        <w:rPr>
          <w:b/>
          <w:bCs/>
        </w:rPr>
        <w:t>, który otrzymuje brzmienie:</w:t>
      </w:r>
    </w:p>
    <w:p w14:paraId="18E0366C" w14:textId="77777777" w:rsidR="003A6C48" w:rsidRPr="00D96ADB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D96ADB">
        <w:t>W przypadku zmiany obowiązującej stawki podatku od towarów i usług (VAT), na pisemny wniosek zainteresowanej strony, dopuszcza się zmianę wartości umowy brutto w stosunku do towarów, których zmiana dotyczy. W razie zmiany stawki podatku od towarów i usług, ceny jednostkowe i wartość netto wynagrodzenia Wykonawcy nie zmieni się, a określone w wyniku tej zmiany ceny jednostkowe i wartość brutto wynagrodzenia zostaną wyliczone w oparciu o wysokość stawki VAT obowiązującej po zmianie przepisów.</w:t>
      </w:r>
    </w:p>
    <w:p w14:paraId="6C9480C8" w14:textId="77777777" w:rsidR="003A6C48" w:rsidRPr="00D96ADB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D96ADB">
        <w:t>Dopuszcza się waloryzację cen jednostkowych netto według wskaźnika cen towarów i usług konsumpcyjnych dla żywności i napojów bezalkoholowych opublikowanego przez Główny Urząd Statystyczny w Biuletynie Statystycznym GUS. Celem waloryzacji jest tylko i wyłącznie urealnienie cen zakupu artykułów, których dostawa stanowi przedmiot niniejszej umowy. Waloryzacja jest dopuszczalna w razie łącznego spełnienia następujących warunków:</w:t>
      </w:r>
    </w:p>
    <w:p w14:paraId="181D77AA" w14:textId="77777777" w:rsidR="003A6C48" w:rsidRPr="00D96ADB" w:rsidRDefault="003A6C48" w:rsidP="003A6C48">
      <w:pPr>
        <w:numPr>
          <w:ilvl w:val="1"/>
          <w:numId w:val="4"/>
        </w:numPr>
        <w:spacing w:line="276" w:lineRule="auto"/>
        <w:ind w:left="993"/>
        <w:jc w:val="both"/>
      </w:pPr>
      <w:r w:rsidRPr="00D96ADB">
        <w:t>złożenia pisemnego wniosku przez zainteresowaną stronę;</w:t>
      </w:r>
    </w:p>
    <w:p w14:paraId="3D8463BD" w14:textId="77777777" w:rsidR="003A6C48" w:rsidRDefault="003A6C48" w:rsidP="003A6C48">
      <w:pPr>
        <w:numPr>
          <w:ilvl w:val="1"/>
          <w:numId w:val="4"/>
        </w:numPr>
        <w:spacing w:line="276" w:lineRule="auto"/>
        <w:ind w:left="993"/>
        <w:jc w:val="both"/>
      </w:pPr>
      <w:r w:rsidRPr="00D96ADB">
        <w:t>zmiany wskaźnika, o którym mowa powyżej, o co najmniej 10% w stosunku do cen/y wska</w:t>
      </w:r>
      <w:r>
        <w:t>zanych/ej w ofercie Wykonawcy,</w:t>
      </w:r>
    </w:p>
    <w:p w14:paraId="1AF31F3B" w14:textId="77777777" w:rsidR="003A6C48" w:rsidRPr="00344DF8" w:rsidRDefault="003A6C48" w:rsidP="003A6C48">
      <w:pPr>
        <w:numPr>
          <w:ilvl w:val="1"/>
          <w:numId w:val="4"/>
        </w:numPr>
        <w:spacing w:line="276" w:lineRule="auto"/>
        <w:ind w:left="993"/>
        <w:jc w:val="both"/>
      </w:pPr>
      <w:r w:rsidRPr="00344DF8">
        <w:t>upływu co najmniej trzech miesięcy od rozpoczęcia realizacji umowy.</w:t>
      </w:r>
    </w:p>
    <w:p w14:paraId="7C01DE8A" w14:textId="77777777" w:rsidR="003A6C48" w:rsidRPr="00D96ADB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D96ADB">
        <w:t>Waloryzację przeprowadza się w oparciu o opublikowane przez GUS wskaźniki cen towarów i usług konsumpcyjnych – żywność i napoje bezalkoholowe, za miesiąc poprzedzający wpływ wniosku, o którym mowa powyżej, w odniesieniu do cen z miesiąca i roku w którym złożona została oferta w postępowaniu w wyniku którego zawarta została niniejsza umowa, dla odpowiednich grup żywności lub wybranych produktów.</w:t>
      </w:r>
    </w:p>
    <w:p w14:paraId="6EC3589A" w14:textId="77777777" w:rsidR="003A6C48" w:rsidRPr="00D96ADB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D96ADB">
        <w:t>Wniosek o zmianę umowy, o którym mowa w ust. 2 powyżej, powinien zawierać co najmniej:</w:t>
      </w:r>
    </w:p>
    <w:p w14:paraId="572B118B" w14:textId="77777777" w:rsidR="003A6C48" w:rsidRPr="00D96ADB" w:rsidRDefault="003A6C48" w:rsidP="003A6C48">
      <w:pPr>
        <w:numPr>
          <w:ilvl w:val="0"/>
          <w:numId w:val="3"/>
        </w:numPr>
        <w:spacing w:line="276" w:lineRule="auto"/>
        <w:ind w:left="1276" w:hanging="357"/>
        <w:jc w:val="both"/>
      </w:pPr>
      <w:r w:rsidRPr="00D96ADB">
        <w:t>zakres proponowanej zmiany,</w:t>
      </w:r>
    </w:p>
    <w:p w14:paraId="2A4CD63E" w14:textId="77777777" w:rsidR="003A6C48" w:rsidRPr="00D96ADB" w:rsidRDefault="003A6C48" w:rsidP="003A6C48">
      <w:pPr>
        <w:numPr>
          <w:ilvl w:val="0"/>
          <w:numId w:val="3"/>
        </w:numPr>
        <w:spacing w:line="276" w:lineRule="auto"/>
        <w:ind w:left="1276" w:hanging="357"/>
        <w:jc w:val="both"/>
      </w:pPr>
      <w:r w:rsidRPr="00D96ADB">
        <w:t>podstawę dokonania zmiany, to jest podstawę prawną wynikającą z przepisów ustawy lub postanowień umowy,</w:t>
      </w:r>
    </w:p>
    <w:p w14:paraId="60C3CCB5" w14:textId="77777777" w:rsidR="003A6C48" w:rsidRPr="00D96ADB" w:rsidRDefault="003A6C48" w:rsidP="003A6C48">
      <w:pPr>
        <w:numPr>
          <w:ilvl w:val="0"/>
          <w:numId w:val="3"/>
        </w:numPr>
        <w:spacing w:line="276" w:lineRule="auto"/>
        <w:ind w:left="1276" w:hanging="357"/>
        <w:jc w:val="both"/>
      </w:pPr>
      <w:r w:rsidRPr="00D96ADB">
        <w:t xml:space="preserve">informacje i dowody potwierdzające, że zostały spełnione okoliczności uzasadniające dokonanie zmiany umowy. </w:t>
      </w:r>
    </w:p>
    <w:p w14:paraId="529120D5" w14:textId="77777777" w:rsidR="003A6C48" w:rsidRPr="00344DF8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344DF8">
        <w:lastRenderedPageBreak/>
        <w:t>Waloryzacja, o której mowa w ustępach poprzedzających, nie może prowadzić do zmiany przekraczającej 50% wartości całkowitego wynagrodzenia przysługującego Wykonawcy, z tytułu realizacji niniejszej umowy.</w:t>
      </w:r>
    </w:p>
    <w:p w14:paraId="24A5667E" w14:textId="77777777" w:rsidR="003A6C48" w:rsidRPr="00D96ADB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D96ADB">
        <w:t>Zmiany przewidziane w ust. 2 niniejszego paragrafu są dopuszczalne pod warunkiem osiągnięcia przez strony umowy, porozumienia co do zakresu i momentu wejścia w życie ewentualnych zmian jej postanowień, przy zachowaniu w szczególności zasad wydatkowania środków publicznych, o których mowa w ustawie z dnia 27 sierpnia 2009 r. o finansach publicznych.</w:t>
      </w:r>
    </w:p>
    <w:p w14:paraId="7859C4D0" w14:textId="77777777" w:rsidR="003A6C48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D96ADB">
        <w:t>Zmiany przewidziane niniejszym paragrafem wymagają formy pisemnej pod rygorem nieważności i wywołuje skutek od dnia podpisania stosownego aneksu do umowy.</w:t>
      </w:r>
    </w:p>
    <w:p w14:paraId="26E065FC" w14:textId="68FF41E1" w:rsidR="003A6C48" w:rsidRDefault="003A6C48" w:rsidP="003A6C48">
      <w:pPr>
        <w:numPr>
          <w:ilvl w:val="0"/>
          <w:numId w:val="2"/>
        </w:numPr>
        <w:spacing w:line="276" w:lineRule="auto"/>
        <w:ind w:left="709"/>
        <w:jc w:val="both"/>
      </w:pPr>
      <w:r w:rsidRPr="00344DF8">
        <w:t>Wykonawca, którego wynagrodzenie zostało zmienione na podstawie ust. 2 niniejszego paragrafu, zobowiązany jest do adekwatnej zmiany wynagrodzenia przysługującego podwykonawcy z którym zawarł umowę, w zakresie odpowiadającym zmianom dokonanym w umowie pomiędzy Zamawiającym, a Wykonawcą.</w:t>
      </w:r>
    </w:p>
    <w:p w14:paraId="238F3A31" w14:textId="1B553F8E" w:rsidR="00344DF8" w:rsidRDefault="00344DF8" w:rsidP="00344DF8">
      <w:pPr>
        <w:spacing w:line="276" w:lineRule="auto"/>
        <w:ind w:left="709"/>
        <w:jc w:val="center"/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96ADB">
        <w:rPr>
          <w:b/>
          <w:bCs/>
        </w:rPr>
        <w:t xml:space="preserve"> § </w:t>
      </w:r>
      <w:r>
        <w:rPr>
          <w:b/>
          <w:bCs/>
        </w:rPr>
        <w:t>11, który otrzymuje brzmienie:</w:t>
      </w:r>
    </w:p>
    <w:p w14:paraId="76FFF3E1" w14:textId="77777777" w:rsidR="00344DF8" w:rsidRDefault="00344DF8" w:rsidP="00344DF8">
      <w:pPr>
        <w:numPr>
          <w:ilvl w:val="0"/>
          <w:numId w:val="6"/>
        </w:numPr>
        <w:suppressAutoHyphens/>
        <w:spacing w:after="0" w:line="276" w:lineRule="auto"/>
        <w:jc w:val="both"/>
      </w:pPr>
      <w:r>
        <w:t xml:space="preserve">Wykonawca zapłaci Zamawiającemu kary umowne w następujących przypadkach i wysokościach: </w:t>
      </w:r>
    </w:p>
    <w:p w14:paraId="543C0515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t>za odstąpienie od umowy bądź jej niezrealizowanej części przez którąkolwiek ze stron z powodu okoliczności za które odpowiedzialność ponosi Wykonawca – 15% wartości brutto niezrealizowanej części umowy;</w:t>
      </w:r>
    </w:p>
    <w:p w14:paraId="1D9BEAB2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t>w przypadku:</w:t>
      </w:r>
    </w:p>
    <w:p w14:paraId="01877001" w14:textId="77777777" w:rsidR="00344DF8" w:rsidRDefault="00344DF8" w:rsidP="00344DF8">
      <w:pPr>
        <w:numPr>
          <w:ilvl w:val="4"/>
          <w:numId w:val="8"/>
        </w:numPr>
        <w:tabs>
          <w:tab w:val="left" w:pos="-5245"/>
        </w:tabs>
        <w:suppressAutoHyphens/>
        <w:spacing w:after="0" w:line="276" w:lineRule="auto"/>
        <w:ind w:left="1134" w:hanging="425"/>
        <w:jc w:val="both"/>
      </w:pPr>
      <w:r>
        <w:t>stwierdzenia wadliwości dostarczonego towaru i odmowy przyjęcia wadliwego towaru,</w:t>
      </w:r>
    </w:p>
    <w:p w14:paraId="43E098D3" w14:textId="77777777" w:rsidR="00344DF8" w:rsidRDefault="00344DF8" w:rsidP="00344DF8">
      <w:pPr>
        <w:numPr>
          <w:ilvl w:val="4"/>
          <w:numId w:val="8"/>
        </w:numPr>
        <w:tabs>
          <w:tab w:val="left" w:pos="-5245"/>
        </w:tabs>
        <w:suppressAutoHyphens/>
        <w:spacing w:after="0" w:line="276" w:lineRule="auto"/>
        <w:ind w:left="1134" w:hanging="425"/>
        <w:jc w:val="both"/>
      </w:pPr>
      <w:r>
        <w:t>odmowy przyjęcia towaru i rezygnacji z dostawy z powodu przekroczenia terminu dostawy,</w:t>
      </w:r>
    </w:p>
    <w:p w14:paraId="1A53B4EA" w14:textId="77777777" w:rsidR="00344DF8" w:rsidRDefault="00344DF8" w:rsidP="00344DF8">
      <w:pPr>
        <w:numPr>
          <w:ilvl w:val="4"/>
          <w:numId w:val="8"/>
        </w:numPr>
        <w:tabs>
          <w:tab w:val="left" w:pos="-5245"/>
        </w:tabs>
        <w:suppressAutoHyphens/>
        <w:spacing w:after="0" w:line="276" w:lineRule="auto"/>
        <w:ind w:left="1134" w:hanging="425"/>
        <w:jc w:val="both"/>
      </w:pPr>
      <w:r>
        <w:t>za dostarczenie towaru środkiem transportu nieodpowiednim do przewozu żywości i odmowy przyjęcia wadliwej dostawy,</w:t>
      </w:r>
    </w:p>
    <w:p w14:paraId="18504748" w14:textId="77777777" w:rsidR="00344DF8" w:rsidRDefault="00344DF8" w:rsidP="00344DF8">
      <w:pPr>
        <w:numPr>
          <w:ilvl w:val="4"/>
          <w:numId w:val="8"/>
        </w:numPr>
        <w:tabs>
          <w:tab w:val="left" w:pos="-5245"/>
        </w:tabs>
        <w:suppressAutoHyphens/>
        <w:spacing w:after="0" w:line="276" w:lineRule="auto"/>
        <w:ind w:left="1134" w:hanging="425"/>
        <w:jc w:val="both"/>
      </w:pPr>
      <w:r>
        <w:t>za dostarczenie towaru nieodpowiednio oznakowanego lub opakowanego i odmowy przyjęcia wadliwej dostawy w wysokości 25% dostawy dotkniętej wyżej wskazanymi wadami.</w:t>
      </w:r>
    </w:p>
    <w:p w14:paraId="5ACB5991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jc w:val="both"/>
      </w:pPr>
      <w:r>
        <w:t xml:space="preserve">w </w:t>
      </w:r>
      <w:r>
        <w:rPr>
          <w:shd w:val="clear" w:color="auto" w:fill="FFFFFF"/>
        </w:rPr>
        <w:t>wysokości 50% wartości brutto wadliwego towaru jeżeli wynik badania jakości towaru w toku kontroli prewencyjnej lub reklamacji wykaże niespełnienie wymagań jakościowych;</w:t>
      </w:r>
    </w:p>
    <w:p w14:paraId="4637E34C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t xml:space="preserve">za zwłokę w terminie dostawy (przekroczenie terminu dostawy) – 1% wartości brutto nieterminowo zrealizowanej dostawy za każdą rozpoczętą godzinę zwłoki; </w:t>
      </w:r>
    </w:p>
    <w:p w14:paraId="6917A95B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t>w przypadku stwierdzenia niezgodności ilościowo – asortymentowych bądź wad jakościowych – 1% wartości brutto niedostarczonego towaru albo wartości wadliwego towaru za każdą rozpoczętą godzinę zwłoki;</w:t>
      </w:r>
    </w:p>
    <w:p w14:paraId="4BC90497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t>za dostarczenie towaru środkiem transportu nieodpowiednim do przewozu żywości – 1% wartości brutto za każdą godzinę zwłoki w wymianie towaru na dostarczony środkiem odpowiednim;</w:t>
      </w:r>
    </w:p>
    <w:p w14:paraId="79C1EA58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t xml:space="preserve">za dostarczenie towaru nieodpowiednio oznakowanego lub opakowanego 1% wartości brutto wadliwej dostawy za każdą rozpoczętą godzinę zwłoki w wymianie; </w:t>
      </w:r>
    </w:p>
    <w:p w14:paraId="1F483BD7" w14:textId="77777777" w:rsid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>
        <w:lastRenderedPageBreak/>
        <w:t>za zwłokę w terminie dostawy (przekroczenie terminu dostawy), o którym mowa w § 1 ust. 5 niniejszej umowy – 1% wartości brutto nieterminowo zrealizowanej dostawy za każdą rozpoczętą godzinę zwłoki.</w:t>
      </w:r>
    </w:p>
    <w:p w14:paraId="312C62F9" w14:textId="77777777" w:rsidR="00344DF8" w:rsidRPr="00344DF8" w:rsidRDefault="00344DF8" w:rsidP="00344DF8">
      <w:pPr>
        <w:numPr>
          <w:ilvl w:val="0"/>
          <w:numId w:val="7"/>
        </w:numPr>
        <w:suppressAutoHyphens/>
        <w:spacing w:after="0" w:line="276" w:lineRule="auto"/>
        <w:ind w:left="754" w:hanging="357"/>
        <w:jc w:val="both"/>
      </w:pPr>
      <w:r w:rsidRPr="00344DF8">
        <w:rPr>
          <w:lang w:eastAsia="pl-PL"/>
        </w:rPr>
        <w:t>10% wartości zmiany wynagrodzenia wynikającej z wprowadzonej waloryzacji, o której mowa w § 4 ust. 2 niniejszej umowy, w przypadku naruszenia przez Wykonawcę obowiązku wynikającego z w § 4 ust. 8 niniejszej umowy.</w:t>
      </w:r>
    </w:p>
    <w:p w14:paraId="0EDDC952" w14:textId="77777777" w:rsidR="00344DF8" w:rsidRP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 w:rsidRPr="00344DF8">
        <w:t>Kary umowne, o których mowa w ust. 1 pkt 2) – 9) niniejszego paragrafu, mogą podlegać stosownemu łączeniu.</w:t>
      </w:r>
    </w:p>
    <w:p w14:paraId="6D81009D" w14:textId="77777777" w:rsidR="00344DF8" w:rsidRP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 w:rsidRPr="00344DF8">
        <w:t>Kary umowne oblicza się od wartości brutto obowiązującej umowy.</w:t>
      </w:r>
    </w:p>
    <w:p w14:paraId="09017F39" w14:textId="77777777" w:rsidR="00344DF8" w:rsidRP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 w:rsidRPr="00344DF8">
        <w:rPr>
          <w:rStyle w:val="Pogrubienie"/>
        </w:rPr>
        <w:t>Maksymalna wysokość kar umownych zastrzeżonych niniejszą umową nie może przekroczyć 15% wartości wynagrodzenia brutto ustalonego umową.</w:t>
      </w:r>
    </w:p>
    <w:p w14:paraId="197A6EAC" w14:textId="77777777" w:rsid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 w:rsidRPr="00344DF8">
        <w:t>Kary umowne, o których mowa w ust. 1 pkt 2) – 9) niniejszego paragrafu, z wyjątkiem kary umownej, o której mowa w ust. 1 pkt 1) niniejszego paragrafu, będą naliczane do wysokości stanowiącej 15% wartości brutto umowy, o której mowa w § 2 ust. 2 niniejszej umowy. W przypadku, gdy wartość kar umownych, o których mowa w zdaniu poprzedzającym osiągnie wartość 15% wartości brutto umowy, Zamawiający zaprzestanie naliczania ww. kar umownych i będzie uprawniony do odstąpienia od umowy i naliczy wyłącznie karę umowną</w:t>
      </w:r>
      <w:r>
        <w:t xml:space="preserve"> przysługującą mu z tytułu odstąpienia od umowy, o której mowa w ust. 1 pkt 1) niniejszego paragrafu.</w:t>
      </w:r>
    </w:p>
    <w:p w14:paraId="08F48279" w14:textId="77777777" w:rsid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>
        <w:t>W przypadku jeżeli dane zdarzenie stanowi podstawę do naliczenia kary umownej z tytułu nienależytego wykonania umowy i jednocześnie stanowi podstawę do odstąpienia od umowy przez Zamawiającego, Wykonawcy zostanie naliczona wyłącznie kara umowna przysługująca Zamawiającemu z tytułu odstąpienia.</w:t>
      </w:r>
    </w:p>
    <w:p w14:paraId="273E0219" w14:textId="77777777" w:rsid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>
        <w:t>Zamawiający ma prawo w trybie natychmiastowym potrącić należność z tytułu zastosowania kary z wynagrodzenia przysługującego Wykonawcy z tytułu realizacji niniejszej umowy, bez obowiązku składania w tym zakresie dodatkowych oświadczeń.</w:t>
      </w:r>
    </w:p>
    <w:p w14:paraId="10E33E05" w14:textId="77777777" w:rsid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>
        <w:t>Wykonawca nie może zwolnić się od odpowiedzialności względem Zamawiającego z powodu tego, że niewykonanie lub nienależyte wykonanie umowy przez Wykonawcę było następstwem niewykonania zobowiązań wobec Wykonawcy przez jego kooperatorów.</w:t>
      </w:r>
    </w:p>
    <w:p w14:paraId="1A9F497F" w14:textId="4C738BBF" w:rsidR="00C9615B" w:rsidRPr="00344DF8" w:rsidRDefault="00344DF8" w:rsidP="00344DF8">
      <w:pPr>
        <w:numPr>
          <w:ilvl w:val="0"/>
          <w:numId w:val="5"/>
        </w:numPr>
        <w:spacing w:after="0" w:line="276" w:lineRule="auto"/>
        <w:jc w:val="both"/>
      </w:pPr>
      <w:r>
        <w:t xml:space="preserve">Zamawiający zastrzega sobie prawo dochodzenia odszkodowania uzupełniającego na zasadach ogólnych, jeżeli wartość powstałej szkody przekracza wysokość zastrzeżonych i naliczonych kar umownych. </w:t>
      </w:r>
    </w:p>
    <w:p w14:paraId="609C7963" w14:textId="6DE9BDE7" w:rsidR="00A14EDF" w:rsidRDefault="00A14EDF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3704E2" w14:textId="77777777" w:rsidR="00A14EDF" w:rsidRPr="00A14EDF" w:rsidRDefault="00A14EDF" w:rsidP="00A14E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4EDF">
        <w:rPr>
          <w:rFonts w:cstheme="minorHAnsi"/>
          <w:sz w:val="24"/>
          <w:szCs w:val="24"/>
        </w:rPr>
        <w:t>W związku z powyższym Zamawiający informuje, że dokonuje następujących zmian treści SWZ:</w:t>
      </w:r>
    </w:p>
    <w:p w14:paraId="3B27392F" w14:textId="7DC33BD2" w:rsidR="00A14EDF" w:rsidRDefault="00A14EDF" w:rsidP="00A14E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4EDF">
        <w:rPr>
          <w:rFonts w:cstheme="minorHAnsi"/>
          <w:sz w:val="24"/>
          <w:szCs w:val="24"/>
        </w:rPr>
        <w:t>Rozdział XIII pkt 1 i 2 i rozdział XIV SWZ otrzymują brzmienie :</w:t>
      </w:r>
    </w:p>
    <w:p w14:paraId="3611B4F1" w14:textId="77777777" w:rsidR="009A0146" w:rsidRPr="000B2ECC" w:rsidRDefault="009A0146" w:rsidP="009A0146">
      <w:pPr>
        <w:pStyle w:val="Standard"/>
        <w:autoSpaceDE w:val="0"/>
        <w:spacing w:after="0"/>
        <w:jc w:val="both"/>
        <w:rPr>
          <w:rFonts w:asciiTheme="minorHAnsi" w:hAnsiTheme="minorHAnsi" w:cstheme="minorHAnsi"/>
          <w:kern w:val="0"/>
          <w:sz w:val="24"/>
          <w:szCs w:val="24"/>
          <w:lang w:val="pl-PL" w:eastAsia="en-US"/>
        </w:rPr>
      </w:pPr>
    </w:p>
    <w:p w14:paraId="6057583E" w14:textId="77777777" w:rsidR="009A0146" w:rsidRPr="00FF4C6F" w:rsidRDefault="009A0146" w:rsidP="009A0146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Pr="00FF4C6F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Sposób oraz termin składania i otwarcia ofert </w:t>
      </w:r>
      <w:r w:rsidRPr="00FF4C6F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otrzymuje brzmienie: </w:t>
      </w:r>
    </w:p>
    <w:p w14:paraId="11E1226F" w14:textId="63681ACE" w:rsidR="009A0146" w:rsidRPr="00FF4C6F" w:rsidRDefault="009A0146" w:rsidP="009A014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Oferty należy złożyć za pośrednictwem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„Formularza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złożenia, zmiany, wycofania oferty lub wniosku”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dostępnego na ePUAP i udostępnionego również na miniPortalu,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br/>
        <w:t>w terminie do 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="00F92574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4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12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.2022 r.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 xml:space="preserve"> do godziny 11:00</w:t>
      </w:r>
      <w:r w:rsidRPr="00781BCE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04F2C2FC" w14:textId="4993EEFD" w:rsidR="009A0146" w:rsidRPr="00FF4C6F" w:rsidRDefault="009A0146" w:rsidP="009A014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Otwarcie ofert nastąpi w dniu </w:t>
      </w:r>
      <w:r w:rsidR="00781BCE"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</w:t>
      </w:r>
      <w:r w:rsidR="00F92574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4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</w:t>
      </w:r>
      <w:r w:rsidR="00781BCE"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12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.2022 r. o godzinie 12:00</w:t>
      </w:r>
      <w:r w:rsidRPr="00781BCE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702EFC09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587D1D7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568A0696" w14:textId="128536A4" w:rsidR="009A0146" w:rsidRPr="00FF4C6F" w:rsidRDefault="009A0146" w:rsidP="009A0146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Wykonawca będzie związany ofertą do dnia 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="00F92574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2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.0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3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 xml:space="preserve"> r. </w:t>
      </w:r>
    </w:p>
    <w:p w14:paraId="444E4515" w14:textId="61FBC5EA" w:rsidR="004660A6" w:rsidRPr="00A14EDF" w:rsidRDefault="00344DF8">
      <w:p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lastRenderedPageBreak/>
        <w:t>Jednocześnie Zamawiający zamieszcza  ujednoliconą wersję Projektowanych Postanowień Umowy (PPU) uwzględniające zmiany</w:t>
      </w:r>
      <w:r w:rsidR="006C7D4E">
        <w:rPr>
          <w:b/>
          <w:bCs/>
          <w:color w:val="4472C4" w:themeColor="accent1"/>
        </w:rPr>
        <w:t>,</w:t>
      </w:r>
      <w:r>
        <w:rPr>
          <w:b/>
          <w:bCs/>
          <w:color w:val="4472C4" w:themeColor="accent1"/>
        </w:rPr>
        <w:t xml:space="preserve"> o których mowa powyżej.</w:t>
      </w:r>
    </w:p>
    <w:sectPr w:rsidR="004660A6" w:rsidRPr="00A14E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5AF4" w14:textId="77777777" w:rsidR="009A0146" w:rsidRDefault="009A0146" w:rsidP="009A0146">
      <w:pPr>
        <w:spacing w:after="0" w:line="240" w:lineRule="auto"/>
      </w:pPr>
      <w:r>
        <w:separator/>
      </w:r>
    </w:p>
  </w:endnote>
  <w:endnote w:type="continuationSeparator" w:id="0">
    <w:p w14:paraId="1B2409B2" w14:textId="77777777" w:rsidR="009A0146" w:rsidRDefault="009A0146" w:rsidP="009A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539D" w14:textId="77777777" w:rsidR="009A0146" w:rsidRDefault="009A0146" w:rsidP="009A0146">
      <w:pPr>
        <w:spacing w:after="0" w:line="240" w:lineRule="auto"/>
      </w:pPr>
      <w:r>
        <w:separator/>
      </w:r>
    </w:p>
  </w:footnote>
  <w:footnote w:type="continuationSeparator" w:id="0">
    <w:p w14:paraId="6ED8E757" w14:textId="77777777" w:rsidR="009A0146" w:rsidRDefault="009A0146" w:rsidP="009A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72BF" w14:textId="516A9B80" w:rsidR="009A0146" w:rsidRPr="009A0146" w:rsidRDefault="009A0146" w:rsidP="009A014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ZP-D.271.11</w:t>
    </w:r>
    <w:r w:rsidR="00864F50">
      <w:rPr>
        <w:rFonts w:ascii="Times New Roman" w:eastAsia="Times New Roman" w:hAnsi="Times New Roman" w:cs="Times New Roman"/>
        <w:sz w:val="20"/>
        <w:szCs w:val="20"/>
        <w:lang w:eastAsia="ar-SA"/>
      </w:rPr>
      <w:t>6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.29</w:t>
    </w:r>
    <w:r w:rsidR="00864F50">
      <w:rPr>
        <w:rFonts w:ascii="Times New Roman" w:eastAsia="Times New Roman" w:hAnsi="Times New Roman" w:cs="Times New Roman"/>
        <w:sz w:val="20"/>
        <w:szCs w:val="20"/>
        <w:lang w:eastAsia="ar-SA"/>
      </w:rPr>
      <w:t>2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.2022</w:t>
    </w:r>
  </w:p>
  <w:p w14:paraId="65915B80" w14:textId="37FC6A70" w:rsidR="00E61909" w:rsidRPr="009A0146" w:rsidRDefault="009A0146" w:rsidP="009A0146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bookmarkStart w:id="0" w:name="_Hlk117609099"/>
    <w:bookmarkStart w:id="1" w:name="_Hlk117609100"/>
    <w:r w:rsidRPr="009A014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Dostawa </w:t>
    </w:r>
    <w:r w:rsidR="00864F50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mięsa drobiowego i wyrobów drobiowych</w:t>
    </w:r>
    <w:r w:rsidRPr="009A014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do Domu Pomocy Społecznej dla Osób Przewlekle Psychicznie Chorych w Rzeszowie.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iCs w:val="0"/>
        <w:sz w:val="22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7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5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4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43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4" w:hanging="180"/>
      </w:pPr>
    </w:lvl>
  </w:abstractNum>
  <w:abstractNum w:abstractNumId="5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75060">
    <w:abstractNumId w:val="7"/>
  </w:num>
  <w:num w:numId="2" w16cid:durableId="1264876991">
    <w:abstractNumId w:val="2"/>
  </w:num>
  <w:num w:numId="3" w16cid:durableId="1276133751">
    <w:abstractNumId w:val="5"/>
  </w:num>
  <w:num w:numId="4" w16cid:durableId="859779768">
    <w:abstractNumId w:val="6"/>
  </w:num>
  <w:num w:numId="5" w16cid:durableId="1633638131">
    <w:abstractNumId w:val="0"/>
  </w:num>
  <w:num w:numId="6" w16cid:durableId="1654917848">
    <w:abstractNumId w:val="1"/>
  </w:num>
  <w:num w:numId="7" w16cid:durableId="899482468">
    <w:abstractNumId w:val="3"/>
  </w:num>
  <w:num w:numId="8" w16cid:durableId="1348026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6"/>
    <w:rsid w:val="00274453"/>
    <w:rsid w:val="00344DF8"/>
    <w:rsid w:val="003A6C48"/>
    <w:rsid w:val="00483034"/>
    <w:rsid w:val="004C7F5C"/>
    <w:rsid w:val="006C7D4E"/>
    <w:rsid w:val="00781BCE"/>
    <w:rsid w:val="00864F50"/>
    <w:rsid w:val="00973FEE"/>
    <w:rsid w:val="009A0146"/>
    <w:rsid w:val="00A14EDF"/>
    <w:rsid w:val="00C9615B"/>
    <w:rsid w:val="00F8459B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FD1"/>
  <w15:chartTrackingRefBased/>
  <w15:docId w15:val="{0F385F37-2A35-4E1C-B0AB-F09D6E0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0146"/>
  </w:style>
  <w:style w:type="paragraph" w:customStyle="1" w:styleId="Standard">
    <w:name w:val="Standard"/>
    <w:rsid w:val="009A014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146"/>
  </w:style>
  <w:style w:type="character" w:styleId="Pogrubienie">
    <w:name w:val="Strong"/>
    <w:qFormat/>
    <w:rsid w:val="00344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Zajdel Dariusz</cp:lastModifiedBy>
  <cp:revision>4</cp:revision>
  <cp:lastPrinted>2022-12-09T12:11:00Z</cp:lastPrinted>
  <dcterms:created xsi:type="dcterms:W3CDTF">2022-12-09T10:27:00Z</dcterms:created>
  <dcterms:modified xsi:type="dcterms:W3CDTF">2022-12-09T12:11:00Z</dcterms:modified>
</cp:coreProperties>
</file>