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  <w:r w:rsidRPr="006106ED">
        <w:rPr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351901C5" wp14:editId="1B65B8E3">
            <wp:simplePos x="0" y="0"/>
            <wp:positionH relativeFrom="margin">
              <wp:posOffset>1699895</wp:posOffset>
            </wp:positionH>
            <wp:positionV relativeFrom="paragraph">
              <wp:posOffset>-658495</wp:posOffset>
            </wp:positionV>
            <wp:extent cx="2486025" cy="2486025"/>
            <wp:effectExtent l="0" t="0" r="9525" b="9525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</w:p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</w:p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</w:p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58035B">
      <w:pPr>
        <w:spacing w:before="120" w:after="120"/>
        <w:jc w:val="center"/>
        <w:rPr>
          <w:i/>
          <w:sz w:val="28"/>
          <w:szCs w:val="28"/>
        </w:rPr>
      </w:pPr>
    </w:p>
    <w:p w:rsidR="0058035B" w:rsidRDefault="0058035B" w:rsidP="00152D5F">
      <w:pPr>
        <w:spacing w:before="120" w:after="120"/>
        <w:jc w:val="center"/>
        <w:rPr>
          <w:b/>
          <w:sz w:val="28"/>
          <w:szCs w:val="28"/>
        </w:rPr>
      </w:pPr>
    </w:p>
    <w:p w:rsidR="00152D5F" w:rsidRPr="007F7CE4" w:rsidRDefault="00152D5F" w:rsidP="00152D5F">
      <w:pPr>
        <w:spacing w:before="120" w:after="120"/>
        <w:jc w:val="center"/>
        <w:rPr>
          <w:b/>
          <w:sz w:val="44"/>
          <w:szCs w:val="44"/>
        </w:rPr>
      </w:pPr>
      <w:r w:rsidRPr="007F7CE4">
        <w:rPr>
          <w:b/>
          <w:sz w:val="44"/>
          <w:szCs w:val="44"/>
        </w:rPr>
        <w:t>R</w:t>
      </w:r>
      <w:r w:rsidR="007F7CE4">
        <w:rPr>
          <w:b/>
          <w:sz w:val="44"/>
          <w:szCs w:val="44"/>
        </w:rPr>
        <w:t xml:space="preserve"> </w:t>
      </w:r>
      <w:r w:rsidRPr="007F7CE4">
        <w:rPr>
          <w:b/>
          <w:sz w:val="44"/>
          <w:szCs w:val="44"/>
        </w:rPr>
        <w:t xml:space="preserve"> A </w:t>
      </w:r>
      <w:r w:rsidR="007F7CE4">
        <w:rPr>
          <w:b/>
          <w:sz w:val="44"/>
          <w:szCs w:val="44"/>
        </w:rPr>
        <w:t xml:space="preserve"> </w:t>
      </w:r>
      <w:r w:rsidRPr="007F7CE4">
        <w:rPr>
          <w:b/>
          <w:sz w:val="44"/>
          <w:szCs w:val="44"/>
        </w:rPr>
        <w:t>P</w:t>
      </w:r>
      <w:r w:rsidR="007F7CE4">
        <w:rPr>
          <w:b/>
          <w:sz w:val="44"/>
          <w:szCs w:val="44"/>
        </w:rPr>
        <w:t xml:space="preserve"> </w:t>
      </w:r>
      <w:r w:rsidRPr="007F7CE4">
        <w:rPr>
          <w:b/>
          <w:sz w:val="44"/>
          <w:szCs w:val="44"/>
        </w:rPr>
        <w:t xml:space="preserve"> O </w:t>
      </w:r>
      <w:r w:rsidR="007F7CE4">
        <w:rPr>
          <w:b/>
          <w:sz w:val="44"/>
          <w:szCs w:val="44"/>
        </w:rPr>
        <w:t xml:space="preserve"> </w:t>
      </w:r>
      <w:r w:rsidRPr="007F7CE4">
        <w:rPr>
          <w:b/>
          <w:sz w:val="44"/>
          <w:szCs w:val="44"/>
        </w:rPr>
        <w:t>R</w:t>
      </w:r>
      <w:r w:rsidR="007F7CE4">
        <w:rPr>
          <w:b/>
          <w:sz w:val="44"/>
          <w:szCs w:val="44"/>
        </w:rPr>
        <w:t xml:space="preserve"> </w:t>
      </w:r>
      <w:r w:rsidRPr="007F7CE4">
        <w:rPr>
          <w:b/>
          <w:sz w:val="44"/>
          <w:szCs w:val="44"/>
        </w:rPr>
        <w:t xml:space="preserve"> T </w:t>
      </w:r>
    </w:p>
    <w:p w:rsidR="00152D5F" w:rsidRPr="007F7CE4" w:rsidRDefault="007F7CE4" w:rsidP="00152D5F">
      <w:pPr>
        <w:spacing w:before="120" w:after="12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 sytuacji ekonomiczno </w:t>
      </w:r>
      <w:r w:rsidR="00152D5F" w:rsidRPr="007F7CE4">
        <w:rPr>
          <w:b/>
          <w:sz w:val="44"/>
          <w:szCs w:val="44"/>
        </w:rPr>
        <w:t>–</w:t>
      </w:r>
      <w:r>
        <w:rPr>
          <w:b/>
          <w:sz w:val="44"/>
          <w:szCs w:val="44"/>
        </w:rPr>
        <w:t xml:space="preserve"> f</w:t>
      </w:r>
      <w:r w:rsidR="00152D5F" w:rsidRPr="007F7CE4">
        <w:rPr>
          <w:b/>
          <w:sz w:val="44"/>
          <w:szCs w:val="44"/>
        </w:rPr>
        <w:t>inansowej</w:t>
      </w: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2022</w:t>
      </w: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Pr="007F7CE4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7F7CE4">
        <w:rPr>
          <w:i/>
          <w:sz w:val="28"/>
          <w:szCs w:val="28"/>
        </w:rPr>
        <w:t>Samodzielny Publiczny Zakład Opieki Zdrowotnej Centrum Leczenia Uzależnień</w:t>
      </w:r>
    </w:p>
    <w:p w:rsidR="007F7CE4" w:rsidRPr="007F7CE4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7F7CE4">
        <w:rPr>
          <w:i/>
          <w:sz w:val="28"/>
          <w:szCs w:val="28"/>
        </w:rPr>
        <w:t xml:space="preserve">35-201 </w:t>
      </w:r>
      <w:r>
        <w:rPr>
          <w:i/>
          <w:sz w:val="28"/>
          <w:szCs w:val="28"/>
        </w:rPr>
        <w:t xml:space="preserve">Rzeszów, ul. Kochanowskiego 17, </w:t>
      </w:r>
      <w:proofErr w:type="spellStart"/>
      <w:r w:rsidRPr="007F7CE4">
        <w:rPr>
          <w:i/>
          <w:sz w:val="28"/>
          <w:szCs w:val="28"/>
        </w:rPr>
        <w:t>tel</w:t>
      </w:r>
      <w:proofErr w:type="spellEnd"/>
      <w:r w:rsidRPr="007F7CE4">
        <w:rPr>
          <w:i/>
          <w:sz w:val="28"/>
          <w:szCs w:val="28"/>
        </w:rPr>
        <w:t>/fax 17 85 81 181</w:t>
      </w:r>
    </w:p>
    <w:p w:rsidR="007F7CE4" w:rsidRPr="007F7CE4" w:rsidRDefault="007F7CE4" w:rsidP="007F7CE4">
      <w:pPr>
        <w:spacing w:before="120" w:after="120"/>
        <w:jc w:val="center"/>
        <w:rPr>
          <w:i/>
          <w:sz w:val="28"/>
          <w:szCs w:val="28"/>
        </w:rPr>
      </w:pPr>
      <w:r w:rsidRPr="007F7CE4">
        <w:rPr>
          <w:i/>
          <w:sz w:val="28"/>
          <w:szCs w:val="28"/>
        </w:rPr>
        <w:t>NIP 813-31-26-365, REGON 69070627</w:t>
      </w: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</w:p>
    <w:p w:rsidR="007F7CE4" w:rsidRDefault="007F7CE4" w:rsidP="00FE62FD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Rzeszów, dnia 29.05.2023 r.</w:t>
      </w:r>
    </w:p>
    <w:p w:rsidR="006320FF" w:rsidRPr="00D14BCD" w:rsidRDefault="00EC2DAD" w:rsidP="00E01EF4">
      <w:pPr>
        <w:pStyle w:val="Akapitzlist"/>
        <w:numPr>
          <w:ilvl w:val="0"/>
          <w:numId w:val="12"/>
        </w:numPr>
        <w:spacing w:before="120" w:after="120"/>
        <w:rPr>
          <w:b/>
        </w:rPr>
      </w:pPr>
      <w:r>
        <w:rPr>
          <w:b/>
        </w:rPr>
        <w:lastRenderedPageBreak/>
        <w:t>CZĘ</w:t>
      </w:r>
      <w:r w:rsidR="006320FF" w:rsidRPr="00D14BCD">
        <w:rPr>
          <w:b/>
        </w:rPr>
        <w:t>ŚĆ OGÓLNA</w:t>
      </w:r>
    </w:p>
    <w:p w:rsidR="00E01EF4" w:rsidRPr="001F662E" w:rsidRDefault="00E01EF4" w:rsidP="00E01EF4">
      <w:pPr>
        <w:pStyle w:val="Akapitzlist"/>
        <w:spacing w:before="120" w:after="120"/>
        <w:ind w:left="1080"/>
        <w:rPr>
          <w:b/>
          <w:color w:val="FF0000"/>
        </w:rPr>
      </w:pPr>
    </w:p>
    <w:p w:rsidR="00C9724C" w:rsidRDefault="00C9724C" w:rsidP="00C9724C">
      <w:pPr>
        <w:pStyle w:val="Akapitzlist"/>
        <w:numPr>
          <w:ilvl w:val="0"/>
          <w:numId w:val="20"/>
        </w:numPr>
        <w:jc w:val="both"/>
      </w:pPr>
      <w:r w:rsidRPr="001F662E">
        <w:t>Samodzielny Publiczny Zakład Opieki Zdrowotnej Centrum Leczenia Uzależnień w Rzeszowie od 2004 r. prowadzony jest w formie samodzielnego zakładu, pokrywającego z posiadanych środków i uzyskiwanych przychodów koszty działalności i regulującego zobowiązania.</w:t>
      </w:r>
    </w:p>
    <w:p w:rsidR="00C9724C" w:rsidRDefault="00C9724C" w:rsidP="00C9724C">
      <w:pPr>
        <w:pStyle w:val="Akapitzlist"/>
        <w:numPr>
          <w:ilvl w:val="0"/>
          <w:numId w:val="20"/>
        </w:numPr>
        <w:jc w:val="both"/>
      </w:pPr>
      <w:r w:rsidRPr="001F662E">
        <w:t>Organem rejestrowym SP ZOZ  CLU jest Sąd Rejonowy w Rzeszowie, XII Wydział Gospodarczy Krajowego Rejestru Sądowego. Na podstawie wniosku placówka została wpisana do Krajowego Rejestru Sądowego – Rejestru Stowarzyszeń, Innych Or</w:t>
      </w:r>
      <w:r w:rsidR="006246C1">
        <w:t>ganizacji Społecznych</w:t>
      </w:r>
      <w:r w:rsidRPr="001F662E">
        <w:t xml:space="preserve"> i Zawodowych, Fundacji oraz Publicznych Zakładów Opieki Zdrowotnej pod numerem KRS: 0000213461.</w:t>
      </w:r>
    </w:p>
    <w:p w:rsidR="00C9724C" w:rsidRDefault="00C9724C" w:rsidP="00C9724C">
      <w:pPr>
        <w:pStyle w:val="Akapitzlist"/>
        <w:numPr>
          <w:ilvl w:val="0"/>
          <w:numId w:val="20"/>
        </w:numPr>
        <w:jc w:val="both"/>
      </w:pPr>
      <w:r w:rsidRPr="00067804">
        <w:t>Zgodnie z ustawą z dnia 15 kwietnia 2011 r. o działalności leczniczej (Dz.U. Nr 112, poz. 654)         SP ZOZ CLU dokonał również wpisu do rejestru podmiotów wykonujących działalność leczniczą, prowadzonych przez Wojewodę Podkarpackiego.</w:t>
      </w:r>
    </w:p>
    <w:p w:rsidR="00C9724C" w:rsidRDefault="00C9724C" w:rsidP="00C9724C">
      <w:pPr>
        <w:pStyle w:val="Akapitzlist"/>
        <w:numPr>
          <w:ilvl w:val="0"/>
          <w:numId w:val="20"/>
        </w:numPr>
        <w:jc w:val="both"/>
      </w:pPr>
      <w:r w:rsidRPr="00067804">
        <w:t>Organami SP ZOZ CLU są:</w:t>
      </w:r>
    </w:p>
    <w:p w:rsidR="00C9724C" w:rsidRDefault="00C9724C" w:rsidP="00C9724C">
      <w:pPr>
        <w:pStyle w:val="Akapitzlist"/>
        <w:numPr>
          <w:ilvl w:val="0"/>
          <w:numId w:val="21"/>
        </w:numPr>
        <w:jc w:val="both"/>
      </w:pPr>
      <w:r>
        <w:t>Dyrektor – zarządza i kieruje zakładem oraz reprezentuje go na zewnątrz</w:t>
      </w:r>
    </w:p>
    <w:p w:rsidR="00C9724C" w:rsidRDefault="00C9724C" w:rsidP="00C9724C">
      <w:pPr>
        <w:pStyle w:val="Akapitzlist"/>
        <w:numPr>
          <w:ilvl w:val="0"/>
          <w:numId w:val="21"/>
        </w:numPr>
        <w:jc w:val="both"/>
      </w:pPr>
      <w:r w:rsidRPr="00067804">
        <w:t>Rada Społeczna – organ inicjujący  i opiniodawczy podmiotu tworzącego oraz organ doradczy Dyrektora.</w:t>
      </w:r>
    </w:p>
    <w:p w:rsidR="00C9724C" w:rsidRDefault="00C9724C" w:rsidP="00C9724C">
      <w:pPr>
        <w:pStyle w:val="Akapitzlist"/>
        <w:numPr>
          <w:ilvl w:val="0"/>
          <w:numId w:val="20"/>
        </w:numPr>
        <w:jc w:val="both"/>
      </w:pPr>
      <w:r>
        <w:t xml:space="preserve">SP ZOZ CLU </w:t>
      </w:r>
      <w:r w:rsidRPr="00067804">
        <w:t>realizuje świadczenia zdrowotne w rodzaju „Opieka psychiatryczna i leczenie uzależnień” w Przychodni specjalistycznej oraz w</w:t>
      </w:r>
      <w:r w:rsidR="006246C1">
        <w:t xml:space="preserve"> Oddziale Leczenia Uzależnień, </w:t>
      </w:r>
      <w:r w:rsidRPr="00067804">
        <w:t xml:space="preserve">zgodnie </w:t>
      </w:r>
      <w:r w:rsidR="006246C1">
        <w:t xml:space="preserve">           </w:t>
      </w:r>
      <w:r w:rsidRPr="00067804">
        <w:t>z zawartą umową z Narodowym Funduszem Zdrowia.</w:t>
      </w:r>
    </w:p>
    <w:p w:rsidR="00C9724C" w:rsidRDefault="00C9724C" w:rsidP="00C9724C">
      <w:pPr>
        <w:pStyle w:val="Akapitzlist"/>
        <w:numPr>
          <w:ilvl w:val="0"/>
          <w:numId w:val="20"/>
        </w:numPr>
        <w:spacing w:before="120" w:after="120"/>
        <w:jc w:val="both"/>
      </w:pPr>
      <w:r w:rsidRPr="00067804">
        <w:t>Zakres świadczeń :</w:t>
      </w:r>
    </w:p>
    <w:p w:rsidR="00C9724C" w:rsidRDefault="009177C0" w:rsidP="009177C0">
      <w:pPr>
        <w:pStyle w:val="Akapitzlist"/>
        <w:numPr>
          <w:ilvl w:val="0"/>
          <w:numId w:val="22"/>
        </w:numPr>
        <w:spacing w:before="120" w:after="120"/>
        <w:jc w:val="both"/>
      </w:pPr>
      <w:r>
        <w:t>W Przychodni Specjalistycznej - świadczenia terapii uzależnienia i współuzależnienia od alkoholu,</w:t>
      </w:r>
    </w:p>
    <w:p w:rsidR="009177C0" w:rsidRDefault="009177C0" w:rsidP="009177C0">
      <w:pPr>
        <w:pStyle w:val="Akapitzlist"/>
        <w:numPr>
          <w:ilvl w:val="0"/>
          <w:numId w:val="22"/>
        </w:numPr>
        <w:jc w:val="both"/>
      </w:pPr>
      <w:r>
        <w:t xml:space="preserve">w Oddziale Leczenia Uzależnień - </w:t>
      </w:r>
      <w:r w:rsidRPr="002E2BD8">
        <w:t>leczenie uzależnień od alkoholu, hazardu patologicznego, uzależnienia mieszane.</w:t>
      </w:r>
    </w:p>
    <w:p w:rsidR="00145A21" w:rsidRDefault="009177C0" w:rsidP="00145A21">
      <w:pPr>
        <w:pStyle w:val="Akapitzlist"/>
        <w:numPr>
          <w:ilvl w:val="0"/>
          <w:numId w:val="20"/>
        </w:numPr>
        <w:jc w:val="both"/>
      </w:pPr>
      <w:r>
        <w:t>SP ZOZ CLU realizuje również część zadań, zawartych Miejskim Programie Rozwiązywania Problemów Alkoholowych i Przeciwdziałania  Narkomanii</w:t>
      </w:r>
      <w:r w:rsidR="00452540">
        <w:t xml:space="preserve"> na lata 2022-2025</w:t>
      </w:r>
      <w:r>
        <w:t>.  Zadania te obejmują świadczenia psych</w:t>
      </w:r>
      <w:r w:rsidR="00145A21">
        <w:t xml:space="preserve">oterapeutyczne dla mieszkańców </w:t>
      </w:r>
      <w:r>
        <w:t>Gminy Miasto Rzeszów. Jednocześnie prowadzone są  wielokierunkowe zajęcia, obe</w:t>
      </w:r>
      <w:r w:rsidR="000C3D84">
        <w:t>jmujące profilaktykę uzależnień</w:t>
      </w:r>
      <w:r>
        <w:t>, ochronę dzieci   przed przemocą rówieśniczą, cyberprzemocą,  przemocą domową.</w:t>
      </w:r>
      <w:r w:rsidR="00145A21">
        <w:t xml:space="preserve"> </w:t>
      </w:r>
    </w:p>
    <w:p w:rsidR="009177C0" w:rsidRDefault="00145A21" w:rsidP="00145A21">
      <w:pPr>
        <w:pStyle w:val="Akapitzlist"/>
        <w:jc w:val="both"/>
      </w:pPr>
      <w:r>
        <w:t xml:space="preserve">W ramach świadczeń dla pacjentów indywidualnych,  SP ZOZ CLU  oferuje </w:t>
      </w:r>
      <w:r w:rsidR="009C6103">
        <w:t xml:space="preserve">m.in. </w:t>
      </w:r>
      <w:r>
        <w:t xml:space="preserve">pomoc  psychologiczną dla rodzin osób uzależnionych, małoletnich dzieci wychowujących się </w:t>
      </w:r>
      <w:r w:rsidR="006246C1">
        <w:t xml:space="preserve">               </w:t>
      </w:r>
      <w:r w:rsidR="000C3D84">
        <w:t>w rodzinach dysfunkcyjnych. W ramach realizacji zadań</w:t>
      </w:r>
      <w:r>
        <w:t xml:space="preserve">, zawartych w Miejskim Programie Rozwiązywania Problemów Alkoholowych i Przeciwdziałania Narkomanii, specjaliści zatrudnieni w SP ZOZ CLU prowadzą wysokospecjalistyczne szkolenia dla pedagogów, rodziców, higienistek, pracowników socjalnych, kuratorów, żołnierzy z zakresu podnoszenia kompetencji wychowawczych oraz rozwijania umiejętności radzenia sobie z trudnościami wychowawczymi dzieci, uzależnień  chemicznych, behawioralnych oraz procedur zawartych </w:t>
      </w:r>
      <w:r w:rsidR="000C3D84">
        <w:t xml:space="preserve">    </w:t>
      </w:r>
      <w:r>
        <w:t>w ustawie o zwalczaniu  przemocy domowej.</w:t>
      </w:r>
    </w:p>
    <w:p w:rsidR="00C82C8D" w:rsidRDefault="00145A21" w:rsidP="00C82C8D">
      <w:pPr>
        <w:pStyle w:val="Akapitzlist"/>
        <w:numPr>
          <w:ilvl w:val="0"/>
          <w:numId w:val="20"/>
        </w:numPr>
        <w:jc w:val="both"/>
      </w:pPr>
      <w:r>
        <w:t xml:space="preserve">W </w:t>
      </w:r>
      <w:r w:rsidR="00991256">
        <w:t xml:space="preserve">październiku  </w:t>
      </w:r>
      <w:r>
        <w:t xml:space="preserve">2022 </w:t>
      </w:r>
      <w:r w:rsidR="00C82C8D">
        <w:t>roku placówka podjęła realizację programu wsparcia psychospołecznego dla dzieci i młodzieży w związku z konfliktem na Ukrainie</w:t>
      </w:r>
      <w:r w:rsidR="00991256">
        <w:t>,</w:t>
      </w:r>
      <w:r w:rsidR="00C82C8D">
        <w:t xml:space="preserve"> finansowanego </w:t>
      </w:r>
      <w:r w:rsidR="00E00350">
        <w:t xml:space="preserve">z dotacji </w:t>
      </w:r>
      <w:r w:rsidR="00991256">
        <w:t xml:space="preserve">celowej         </w:t>
      </w:r>
      <w:r w:rsidR="00E00350">
        <w:t xml:space="preserve"> budżetu Miasta Rzeszowa</w:t>
      </w:r>
      <w:r w:rsidR="00991256">
        <w:t>,</w:t>
      </w:r>
      <w:r w:rsidR="00E00350">
        <w:t xml:space="preserve"> </w:t>
      </w:r>
      <w:r w:rsidR="00C82C8D">
        <w:t>przy wsparciu Funduszu Narodów Zjednoczonych na Rzecz Dzieci (</w:t>
      </w:r>
      <w:r w:rsidR="007D1F67">
        <w:t>UNICEF). Program realizowany jest</w:t>
      </w:r>
      <w:r w:rsidR="00C82C8D">
        <w:t xml:space="preserve"> na podstawie Umowy z Gminą Miasto Rzeszów</w:t>
      </w:r>
      <w:r w:rsidR="00991256">
        <w:t xml:space="preserve">                      </w:t>
      </w:r>
      <w:r w:rsidR="00E00350">
        <w:t xml:space="preserve"> </w:t>
      </w:r>
      <w:r w:rsidR="00C82C8D">
        <w:t>i obejmował</w:t>
      </w:r>
      <w:r w:rsidR="007D1F67">
        <w:t xml:space="preserve"> w roku 2022</w:t>
      </w:r>
      <w:r w:rsidR="00C82C8D">
        <w:t xml:space="preserve"> poniższe działania:</w:t>
      </w:r>
    </w:p>
    <w:p w:rsidR="00C82C8D" w:rsidRDefault="00C82C8D" w:rsidP="00C82C8D">
      <w:pPr>
        <w:pStyle w:val="Akapitzlist"/>
        <w:numPr>
          <w:ilvl w:val="0"/>
          <w:numId w:val="24"/>
        </w:numPr>
        <w:ind w:left="1418"/>
        <w:jc w:val="both"/>
      </w:pPr>
      <w:r>
        <w:t>Warsztaty dla dzieci i młodzieży dostosowane do ich indywidualnych potrzeb,</w:t>
      </w:r>
    </w:p>
    <w:p w:rsidR="00C82C8D" w:rsidRDefault="00C82C8D" w:rsidP="00C82C8D">
      <w:pPr>
        <w:pStyle w:val="Akapitzlist"/>
        <w:numPr>
          <w:ilvl w:val="0"/>
          <w:numId w:val="24"/>
        </w:numPr>
        <w:ind w:left="1418"/>
        <w:jc w:val="both"/>
      </w:pPr>
      <w:r>
        <w:t xml:space="preserve">Zapewnienie  specjalistów do wsparcia MHPSS i prowadzenia zajęć rekreacyjnych dla dzieci w godzinach popołudniowych, opracowanie platform cyfrowych, materiałów itp. </w:t>
      </w:r>
    </w:p>
    <w:p w:rsidR="00C82C8D" w:rsidRDefault="00C82C8D" w:rsidP="00C82C8D">
      <w:pPr>
        <w:pStyle w:val="Akapitzlist"/>
        <w:numPr>
          <w:ilvl w:val="0"/>
          <w:numId w:val="24"/>
        </w:numPr>
        <w:ind w:left="1418"/>
        <w:jc w:val="both"/>
      </w:pPr>
      <w:r>
        <w:t>Wyposażenie i adaptacja pomieszczeń przeznaczonych do pracy z dziećmi ukraińskimi podczas zajęć integracyjnych i psychospołecznych.</w:t>
      </w:r>
    </w:p>
    <w:p w:rsidR="00704522" w:rsidRPr="001F662E" w:rsidRDefault="00C82C8D" w:rsidP="0090216B">
      <w:pPr>
        <w:pStyle w:val="Akapitzlist"/>
        <w:ind w:left="709"/>
        <w:jc w:val="both"/>
        <w:rPr>
          <w:color w:val="FF0000"/>
        </w:rPr>
      </w:pPr>
      <w:r>
        <w:t>Program jest kontynuowany w roku 2023 głownie w zakresie dwóch pierwszych działań.</w:t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  <w:r w:rsidR="00E420E9" w:rsidRPr="001F662E">
        <w:rPr>
          <w:color w:val="FF0000"/>
        </w:rPr>
        <w:tab/>
      </w:r>
    </w:p>
    <w:p w:rsidR="009D0C74" w:rsidRPr="00D14BCD" w:rsidRDefault="00933B79" w:rsidP="00933B79">
      <w:pPr>
        <w:spacing w:before="120" w:after="120" w:line="276" w:lineRule="auto"/>
        <w:jc w:val="both"/>
        <w:rPr>
          <w:b/>
        </w:rPr>
      </w:pPr>
      <w:r w:rsidRPr="00D14BCD">
        <w:rPr>
          <w:b/>
        </w:rPr>
        <w:lastRenderedPageBreak/>
        <w:t>II.</w:t>
      </w:r>
      <w:r w:rsidRPr="00D14BCD">
        <w:rPr>
          <w:b/>
        </w:rPr>
        <w:tab/>
        <w:t>ANALIZA SYTUACJI FINANSOWEJ</w:t>
      </w:r>
      <w:r w:rsidR="00E420E9" w:rsidRPr="00D14BCD">
        <w:rPr>
          <w:b/>
        </w:rPr>
        <w:t xml:space="preserve">                                                                                                          </w:t>
      </w:r>
    </w:p>
    <w:p w:rsidR="009D0C74" w:rsidRPr="00EC2DAD" w:rsidRDefault="009D0C74" w:rsidP="00933B79">
      <w:pPr>
        <w:spacing w:before="120" w:after="120" w:line="276" w:lineRule="auto"/>
        <w:jc w:val="both"/>
      </w:pPr>
      <w:r w:rsidRPr="00EC2DAD">
        <w:t xml:space="preserve">1. </w:t>
      </w:r>
      <w:r w:rsidRPr="00EC2DAD">
        <w:tab/>
      </w:r>
      <w:r w:rsidR="00A841F5" w:rsidRPr="00EC2DAD">
        <w:t>S</w:t>
      </w:r>
      <w:r w:rsidR="003A5178" w:rsidRPr="00EC2DAD">
        <w:t>truktura</w:t>
      </w:r>
      <w:r w:rsidRPr="00EC2DAD">
        <w:t xml:space="preserve"> bilansu, </w:t>
      </w:r>
      <w:r w:rsidR="00A841F5" w:rsidRPr="00EC2DAD">
        <w:t xml:space="preserve">wyniki na działalności gospodarczej, </w:t>
      </w:r>
      <w:r w:rsidRPr="00EC2DAD">
        <w:t>zmiany do roku poprzedniego bilansu              i r</w:t>
      </w:r>
      <w:r w:rsidR="00A841F5" w:rsidRPr="00EC2DAD">
        <w:t>achunku zysków i strat</w:t>
      </w:r>
      <w:r w:rsidR="00A03060" w:rsidRPr="00EC2DAD">
        <w:t>.</w:t>
      </w:r>
    </w:p>
    <w:p w:rsidR="009D0C74" w:rsidRPr="00324F49" w:rsidRDefault="00A841F5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324F49">
        <w:rPr>
          <w:b/>
        </w:rPr>
        <w:t xml:space="preserve">BILANS </w:t>
      </w:r>
      <w:r w:rsidR="0060110E" w:rsidRPr="00324F49">
        <w:rPr>
          <w:b/>
        </w:rPr>
        <w:t xml:space="preserve"> ZA LA</w:t>
      </w:r>
      <w:r w:rsidR="00324F49" w:rsidRPr="00324F49">
        <w:rPr>
          <w:b/>
        </w:rPr>
        <w:t>TA 2021</w:t>
      </w:r>
      <w:r w:rsidR="00F64D29" w:rsidRPr="00324F49">
        <w:rPr>
          <w:b/>
        </w:rPr>
        <w:t>, 20</w:t>
      </w:r>
      <w:r w:rsidR="006804A5" w:rsidRPr="00324F49">
        <w:rPr>
          <w:b/>
        </w:rPr>
        <w:t>2</w:t>
      </w:r>
      <w:r w:rsidR="00324F49" w:rsidRPr="00324F49">
        <w:rPr>
          <w:b/>
        </w:rPr>
        <w:t>2</w:t>
      </w:r>
    </w:p>
    <w:tbl>
      <w:tblPr>
        <w:tblW w:w="94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4217"/>
        <w:gridCol w:w="820"/>
        <w:gridCol w:w="820"/>
        <w:gridCol w:w="860"/>
        <w:gridCol w:w="860"/>
        <w:gridCol w:w="720"/>
        <w:gridCol w:w="900"/>
      </w:tblGrid>
      <w:tr w:rsidR="006C1081" w:rsidRPr="006C1081" w:rsidTr="00DE2830">
        <w:trPr>
          <w:trHeight w:val="249"/>
        </w:trPr>
        <w:tc>
          <w:tcPr>
            <w:tcW w:w="4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Dynamika</w:t>
            </w:r>
          </w:p>
        </w:tc>
      </w:tr>
      <w:tr w:rsidR="006C1081" w:rsidRPr="006C1081" w:rsidTr="006C1081">
        <w:trPr>
          <w:trHeight w:val="330"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2022/2021</w:t>
            </w:r>
          </w:p>
        </w:tc>
      </w:tr>
      <w:tr w:rsidR="006C1081" w:rsidRPr="006C1081" w:rsidTr="006C1081">
        <w:trPr>
          <w:trHeight w:val="330"/>
        </w:trPr>
        <w:tc>
          <w:tcPr>
            <w:tcW w:w="4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 udział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tys. zł.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3F3F3F"/>
                <w:sz w:val="18"/>
                <w:szCs w:val="18"/>
                <w:lang w:eastAsia="pl-PL"/>
              </w:rPr>
              <w:t>%</w:t>
            </w:r>
          </w:p>
        </w:tc>
      </w:tr>
      <w:tr w:rsidR="006C1081" w:rsidRPr="006C1081" w:rsidTr="006C1081">
        <w:trPr>
          <w:trHeight w:val="420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3 409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3 559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150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104,4%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2 710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2 685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75,4%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25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99,1%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Wartości niematerialne i prawne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- 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Rzeczowe aktywa trwałe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2 710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79,5%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2 685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75,4%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    25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99,1%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Należności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Inwestycje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Długoterminowe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B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699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874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24,6%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175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125,0%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3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2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166,7%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Należności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204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256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7,2%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52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125,5%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III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Inwestycje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492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612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17,2%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120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124,4%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1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0,03%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1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 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Należne wpłaty na 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Udziały (akcje) własne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PASYWA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3 409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3 559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104,4%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938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964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27,1%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102,8%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podstawowy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628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628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17,6%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100,0%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zapasowy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302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8,9%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310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8,7%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102,6%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z aktualizacji wyceny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Pozostałe kapitały (fundusze) rezerwowe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z lat ubiegłych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Zysk(strata) netto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8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26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325,0%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Odpisy z zysku netto w ciągu roku obrotowego (wart. ujemna)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ZOBOWIĄZANIA I 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2 471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72,5%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2 595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72,9%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105,0%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Rezerwy na zobowiązania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22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0,6%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długoterminowe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-  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-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-    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251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7,4%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363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10,2%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144,6%</w:t>
            </w:r>
          </w:p>
        </w:tc>
      </w:tr>
      <w:tr w:rsidR="006C1081" w:rsidRPr="006C1081" w:rsidTr="006C1081">
        <w:trPr>
          <w:trHeight w:val="420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Rozliczenia międzyokresowe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2 220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65,1%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   2 210  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62,1%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081" w:rsidRPr="006C1081" w:rsidRDefault="006C1081" w:rsidP="006C10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C10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99,5%</w:t>
            </w:r>
          </w:p>
        </w:tc>
      </w:tr>
    </w:tbl>
    <w:p w:rsidR="00E46C63" w:rsidRDefault="00624459" w:rsidP="00E46C63">
      <w:pPr>
        <w:spacing w:after="0"/>
        <w:jc w:val="both"/>
      </w:pPr>
      <w:r>
        <w:lastRenderedPageBreak/>
        <w:tab/>
      </w:r>
      <w:r w:rsidR="00BC6B7C" w:rsidRPr="007349AB">
        <w:t xml:space="preserve">Suma bilansowa aktywów i pasywów zamknęła się </w:t>
      </w:r>
      <w:r w:rsidR="007349AB" w:rsidRPr="007349AB">
        <w:t xml:space="preserve">w 2022 r. </w:t>
      </w:r>
      <w:r w:rsidR="00BC6B7C" w:rsidRPr="007349AB">
        <w:t>kwotą 3.559 tys. zł, co oznacza wzrost</w:t>
      </w:r>
      <w:r w:rsidR="00C95497">
        <w:t xml:space="preserve"> </w:t>
      </w:r>
      <w:r w:rsidR="00BC6B7C" w:rsidRPr="007349AB">
        <w:t xml:space="preserve">o 4% w stosunku do roku 2021. </w:t>
      </w:r>
    </w:p>
    <w:p w:rsidR="008A503F" w:rsidRPr="007349AB" w:rsidRDefault="008A503F" w:rsidP="00E46C63">
      <w:pPr>
        <w:spacing w:after="0"/>
        <w:jc w:val="both"/>
      </w:pPr>
    </w:p>
    <w:p w:rsidR="00BC6B7C" w:rsidRDefault="00624459" w:rsidP="00E46C63">
      <w:pPr>
        <w:spacing w:after="0"/>
        <w:jc w:val="both"/>
      </w:pPr>
      <w:r>
        <w:tab/>
      </w:r>
      <w:r w:rsidR="00BC6B7C" w:rsidRPr="007349AB">
        <w:t xml:space="preserve">Główną pozycję aktywów (75% sumy bilansowej) stanowią rzeczowe aktywa trwałe. </w:t>
      </w:r>
      <w:r>
        <w:t xml:space="preserve">                </w:t>
      </w:r>
      <w:r w:rsidR="00BC6B7C" w:rsidRPr="007349AB">
        <w:t xml:space="preserve">Ich wartość netto wyniosła 2.685 </w:t>
      </w:r>
      <w:proofErr w:type="spellStart"/>
      <w:r w:rsidR="00BC6B7C" w:rsidRPr="007349AB">
        <w:t>tys</w:t>
      </w:r>
      <w:proofErr w:type="spellEnd"/>
      <w:r w:rsidR="00BC6B7C" w:rsidRPr="007349AB">
        <w:t xml:space="preserve"> zł, w tym największą pozycją jest wartość budynku SP ZOZ CLU</w:t>
      </w:r>
      <w:r>
        <w:t xml:space="preserve">            </w:t>
      </w:r>
      <w:r w:rsidR="00BC6B7C" w:rsidRPr="007349AB">
        <w:t xml:space="preserve"> w kwocie 2.155 tys. zł, która stanowi 80% rzeczowych aktywów trwałych, a zarazem aktywów trwałych ogółem. Grunty</w:t>
      </w:r>
      <w:r w:rsidR="00C95497">
        <w:t xml:space="preserve"> </w:t>
      </w:r>
      <w:r w:rsidR="00BC6B7C" w:rsidRPr="007349AB">
        <w:t xml:space="preserve">o wartości 404 tys. zł stanowią 15%, pozostałą część wartości aktywów trwałych tworzą urządzenia techniczne i maszyny w kwocie 56 tys. zł oraz inne środki trwałe w kwocie 70 tys.  zł. </w:t>
      </w:r>
    </w:p>
    <w:p w:rsidR="00BC6B7C" w:rsidRPr="00A03262" w:rsidRDefault="00BC6B7C" w:rsidP="00E46C63">
      <w:pPr>
        <w:spacing w:after="0"/>
        <w:jc w:val="both"/>
      </w:pPr>
      <w:r>
        <w:t>W strukturze aktywów trwałych w roku 2022 nastąpił wzrost wartości maszyn i urządzeń oraz pozostałych środków trwałych, co było związane z inwestycjami w lokal wynajęty przez Centrum Leczenia Uza</w:t>
      </w:r>
      <w:r w:rsidRPr="00A03262">
        <w:t xml:space="preserve">leżnień </w:t>
      </w:r>
      <w:r w:rsidR="00B46C23" w:rsidRPr="00A03262">
        <w:t>przeznaczony do realizacji programu wsparcia MHPS dla dzieci z Polski i Ukrainy.</w:t>
      </w:r>
    </w:p>
    <w:p w:rsidR="00BC6B7C" w:rsidRDefault="00BC6B7C" w:rsidP="00E46C63">
      <w:pPr>
        <w:spacing w:after="0"/>
        <w:jc w:val="both"/>
      </w:pPr>
      <w:r w:rsidRPr="00A03262">
        <w:t xml:space="preserve">Aktywa obrotowe </w:t>
      </w:r>
      <w:r w:rsidR="00B46C23" w:rsidRPr="00A03262">
        <w:t>na koniec</w:t>
      </w:r>
      <w:r w:rsidRPr="00A03262">
        <w:t xml:space="preserve"> roku 2022 wyniosły 87</w:t>
      </w:r>
      <w:r w:rsidR="00B46C23" w:rsidRPr="00A03262">
        <w:t>4 tys.</w:t>
      </w:r>
      <w:r w:rsidRPr="00A03262">
        <w:t xml:space="preserve"> zł. Stanowią one </w:t>
      </w:r>
      <w:r w:rsidR="00B46C23" w:rsidRPr="00A03262">
        <w:t xml:space="preserve">blisko </w:t>
      </w:r>
      <w:r w:rsidRPr="00A03262">
        <w:t xml:space="preserve">25% sumy bilansowej. W 2022 roku nastąpił zarówno wzrost wartości aktywów obrotowych w stosunku do roku 2021 - </w:t>
      </w:r>
      <w:r w:rsidR="00921A5F" w:rsidRPr="00A03262">
        <w:t xml:space="preserve">          </w:t>
      </w:r>
      <w:r w:rsidRPr="00A03262">
        <w:t xml:space="preserve">o 25%, jak i wzrost udziału aktywów obrotowych w aktywach ogółem o 4%. </w:t>
      </w:r>
    </w:p>
    <w:p w:rsidR="008A503F" w:rsidRPr="00A03262" w:rsidRDefault="008A503F" w:rsidP="00E46C63">
      <w:pPr>
        <w:spacing w:after="0"/>
        <w:jc w:val="both"/>
      </w:pPr>
    </w:p>
    <w:p w:rsidR="00BC6B7C" w:rsidRPr="00A03262" w:rsidRDefault="00624459" w:rsidP="00E46C63">
      <w:pPr>
        <w:spacing w:after="0"/>
        <w:jc w:val="both"/>
      </w:pPr>
      <w:r>
        <w:tab/>
      </w:r>
      <w:r w:rsidR="007349AB" w:rsidRPr="00A03262">
        <w:t>Pozycję aktywów obrotowych</w:t>
      </w:r>
      <w:r w:rsidR="00BC6B7C" w:rsidRPr="00A03262">
        <w:t xml:space="preserve"> </w:t>
      </w:r>
      <w:r w:rsidR="00B46C23" w:rsidRPr="00A03262">
        <w:t>tworzą głównie należności krótkoterminowe</w:t>
      </w:r>
      <w:r w:rsidR="00BC6B7C" w:rsidRPr="00A03262">
        <w:t xml:space="preserve"> </w:t>
      </w:r>
      <w:r w:rsidR="00B46C23" w:rsidRPr="00A03262">
        <w:t>oraz środki pieniężne</w:t>
      </w:r>
      <w:r w:rsidR="00A03262" w:rsidRPr="00A03262">
        <w:t>,</w:t>
      </w:r>
      <w:r w:rsidR="00BC6B7C" w:rsidRPr="00A03262">
        <w:t xml:space="preserve"> uzupełniają </w:t>
      </w:r>
      <w:r w:rsidR="00A03262" w:rsidRPr="00A03262">
        <w:t xml:space="preserve">ją </w:t>
      </w:r>
      <w:r w:rsidR="00BC6B7C" w:rsidRPr="00A03262">
        <w:t xml:space="preserve">wartości zapasów i krótkoterminowych rozliczeń międzyokresowych. </w:t>
      </w:r>
    </w:p>
    <w:p w:rsidR="00BC6B7C" w:rsidRPr="00A03262" w:rsidRDefault="00BC6B7C" w:rsidP="00E46C63">
      <w:pPr>
        <w:spacing w:after="0"/>
        <w:jc w:val="both"/>
      </w:pPr>
      <w:r w:rsidRPr="00A03262">
        <w:t xml:space="preserve">Należności krótkoterminowe </w:t>
      </w:r>
      <w:r w:rsidR="00DE1F00" w:rsidRPr="00A03262">
        <w:t xml:space="preserve">na koniec roku 2022 </w:t>
      </w:r>
      <w:r w:rsidR="00232303" w:rsidRPr="00A03262">
        <w:t>osiągnęły</w:t>
      </w:r>
      <w:r w:rsidR="00DE1F00" w:rsidRPr="00A03262">
        <w:t xml:space="preserve"> wartość </w:t>
      </w:r>
      <w:r w:rsidRPr="00A03262">
        <w:t>25</w:t>
      </w:r>
      <w:r w:rsidR="00B46C23" w:rsidRPr="00A03262">
        <w:t xml:space="preserve">6 tys. </w:t>
      </w:r>
      <w:r w:rsidR="00DE1F00" w:rsidRPr="00A03262">
        <w:t xml:space="preserve">zł. Oznacza to </w:t>
      </w:r>
      <w:r w:rsidR="00B46C23" w:rsidRPr="00A03262">
        <w:t xml:space="preserve">wzrost </w:t>
      </w:r>
      <w:r w:rsidR="00921A5F" w:rsidRPr="00A03262">
        <w:t xml:space="preserve">       </w:t>
      </w:r>
      <w:r w:rsidR="00DE1F00" w:rsidRPr="00A03262">
        <w:t xml:space="preserve">o 52 tys. zł.  (25.5%) </w:t>
      </w:r>
      <w:r w:rsidR="00B46C23" w:rsidRPr="00A03262">
        <w:t>w stosunku do poprzedniego roku</w:t>
      </w:r>
      <w:r w:rsidR="00232303" w:rsidRPr="00A03262">
        <w:t>. Był on</w:t>
      </w:r>
      <w:r w:rsidR="00DE1F00" w:rsidRPr="00A03262">
        <w:t xml:space="preserve"> spowodowany głównie zwiększeniem wyceny świadczeń w ramach kontraktu z Narodowym Funduszem Zdrowia. </w:t>
      </w:r>
    </w:p>
    <w:p w:rsidR="00BC6B7C" w:rsidRDefault="00BC6B7C" w:rsidP="00E46C63">
      <w:pPr>
        <w:spacing w:after="0"/>
        <w:jc w:val="both"/>
      </w:pPr>
      <w:r>
        <w:t>Środki pieniężne zgromadzone na rachunku</w:t>
      </w:r>
      <w:r w:rsidRPr="00A03262">
        <w:t xml:space="preserve"> bankowym i w kasie na koniec roku wynosiły </w:t>
      </w:r>
      <w:r w:rsidR="00E8192A" w:rsidRPr="00A03262">
        <w:t xml:space="preserve">612 tys. </w:t>
      </w:r>
      <w:r w:rsidRPr="00A03262">
        <w:t>zł.,</w:t>
      </w:r>
      <w:r w:rsidR="00E8192A" w:rsidRPr="00A03262">
        <w:t xml:space="preserve"> co oznacza wzrost o 24% w stosunku do roku poprzedniego. Kwota 55 tys. zł podlegała zwrotowi</w:t>
      </w:r>
      <w:r w:rsidR="00921A5F" w:rsidRPr="00A03262">
        <w:t xml:space="preserve">          </w:t>
      </w:r>
      <w:r w:rsidR="00E8192A" w:rsidRPr="00A03262">
        <w:t xml:space="preserve"> z tytułu niewykorzystanych dotacji, a więc realn</w:t>
      </w:r>
      <w:r w:rsidR="00865741" w:rsidRPr="00A03262">
        <w:t xml:space="preserve">y wzrost środków na rachunku </w:t>
      </w:r>
      <w:r w:rsidR="00CB3B87" w:rsidRPr="00A03262">
        <w:t xml:space="preserve">na koniec roku 2022 </w:t>
      </w:r>
      <w:r w:rsidR="00C95497">
        <w:t xml:space="preserve">               </w:t>
      </w:r>
      <w:r w:rsidR="00CB3B87" w:rsidRPr="00A03262">
        <w:t xml:space="preserve">w stosunku do poprzedniego </w:t>
      </w:r>
      <w:r w:rsidR="00865741" w:rsidRPr="00A03262">
        <w:t xml:space="preserve">wyniósł </w:t>
      </w:r>
      <w:r w:rsidR="00E8192A" w:rsidRPr="00A03262">
        <w:t>13%</w:t>
      </w:r>
      <w:r w:rsidR="00865741" w:rsidRPr="00A03262">
        <w:t>.</w:t>
      </w:r>
      <w:r w:rsidRPr="00A03262">
        <w:t xml:space="preserve"> </w:t>
      </w:r>
      <w:r w:rsidR="008A503F">
        <w:t xml:space="preserve"> </w:t>
      </w:r>
    </w:p>
    <w:p w:rsidR="008A503F" w:rsidRDefault="008A503F" w:rsidP="00E46C63">
      <w:pPr>
        <w:spacing w:after="0"/>
        <w:jc w:val="both"/>
      </w:pPr>
    </w:p>
    <w:p w:rsidR="00921A5F" w:rsidRDefault="00624459" w:rsidP="00E46C63">
      <w:pPr>
        <w:spacing w:after="0"/>
        <w:jc w:val="both"/>
      </w:pPr>
      <w:r>
        <w:tab/>
      </w:r>
      <w:r w:rsidR="00BC6B7C">
        <w:t xml:space="preserve">W </w:t>
      </w:r>
      <w:r w:rsidR="00BC6B7C" w:rsidRPr="00C95497">
        <w:t xml:space="preserve">strukturze pasywów 27% stanowią kapitały (fundusze) własne, w tym kapitał podstawowy (fundusz założycielski) o wartości </w:t>
      </w:r>
      <w:r w:rsidR="00921A5F" w:rsidRPr="00C95497">
        <w:t xml:space="preserve">628 tys. </w:t>
      </w:r>
      <w:r w:rsidR="00BC6B7C" w:rsidRPr="00C95497">
        <w:t xml:space="preserve">zł oraz kapitał (fundusz) zapasowy </w:t>
      </w:r>
      <w:r w:rsidR="00C95497" w:rsidRPr="00C95497">
        <w:t xml:space="preserve">(fundusz zakładu) </w:t>
      </w:r>
      <w:r w:rsidR="00BC6B7C" w:rsidRPr="00C95497">
        <w:t xml:space="preserve">powstały </w:t>
      </w:r>
      <w:r w:rsidR="00C95497" w:rsidRPr="00C95497">
        <w:t xml:space="preserve"> </w:t>
      </w:r>
      <w:r w:rsidR="00BC6B7C" w:rsidRPr="00C95497">
        <w:t xml:space="preserve">z podziału zysków z lat ubiegłych o wartości </w:t>
      </w:r>
      <w:r w:rsidR="00921A5F" w:rsidRPr="00C95497">
        <w:t xml:space="preserve">310 tys. </w:t>
      </w:r>
      <w:r w:rsidR="00BC6B7C" w:rsidRPr="00C95497">
        <w:t xml:space="preserve">zł, a także </w:t>
      </w:r>
      <w:r w:rsidR="00E537D6" w:rsidRPr="00C95497">
        <w:t>wypracowany zysk</w:t>
      </w:r>
      <w:r w:rsidR="00BC6B7C" w:rsidRPr="00C95497">
        <w:t xml:space="preserve"> w kwocie </w:t>
      </w:r>
      <w:r w:rsidR="00921A5F" w:rsidRPr="00C95497">
        <w:t>26 tys.</w:t>
      </w:r>
      <w:r w:rsidR="00BC6B7C" w:rsidRPr="00C95497">
        <w:t xml:space="preserve"> zł.</w:t>
      </w:r>
      <w:r w:rsidR="00BC6B7C">
        <w:t xml:space="preserve"> Suma kapitałów własnych uległa zwiększen</w:t>
      </w:r>
      <w:r w:rsidR="00921A5F">
        <w:t xml:space="preserve">iu o 2,8 </w:t>
      </w:r>
      <w:r w:rsidR="00BC6B7C">
        <w:t xml:space="preserve">% w stosunku do roku 2021 i </w:t>
      </w:r>
      <w:r w:rsidR="00BC6B7C" w:rsidRPr="00C95497">
        <w:t xml:space="preserve">wyniosła </w:t>
      </w:r>
      <w:r w:rsidR="00921A5F" w:rsidRPr="00C95497">
        <w:t xml:space="preserve">964 tys. </w:t>
      </w:r>
      <w:r w:rsidR="00BC6B7C" w:rsidRPr="00C95497">
        <w:t xml:space="preserve"> zł.</w:t>
      </w:r>
      <w:r w:rsidR="00921A5F" w:rsidRPr="00921A5F">
        <w:rPr>
          <w:b/>
        </w:rPr>
        <w:t xml:space="preserve"> </w:t>
      </w:r>
      <w:r w:rsidR="00921A5F" w:rsidRPr="00921A5F">
        <w:t>Na zwiększenie wartości kapitałów miał wpływ dodatni  wynik finansowy, który zgodnie</w:t>
      </w:r>
      <w:r>
        <w:t xml:space="preserve">               </w:t>
      </w:r>
      <w:r w:rsidR="00921A5F" w:rsidRPr="00921A5F">
        <w:t xml:space="preserve"> z ustawą o działalności leczniczej został z</w:t>
      </w:r>
      <w:r w:rsidR="00C95497">
        <w:t>aliczony</w:t>
      </w:r>
      <w:r w:rsidR="00921A5F" w:rsidRPr="00921A5F">
        <w:t xml:space="preserve"> na zwiększenie funduszu zakładu.</w:t>
      </w:r>
    </w:p>
    <w:p w:rsidR="008A503F" w:rsidRPr="00921A5F" w:rsidRDefault="008A503F" w:rsidP="00E46C63">
      <w:pPr>
        <w:spacing w:after="0"/>
        <w:jc w:val="both"/>
      </w:pPr>
    </w:p>
    <w:p w:rsidR="00BC6B7C" w:rsidRPr="00C95497" w:rsidRDefault="00624459" w:rsidP="00E46C63">
      <w:pPr>
        <w:spacing w:after="0"/>
        <w:jc w:val="both"/>
      </w:pPr>
      <w:r>
        <w:tab/>
      </w:r>
      <w:r w:rsidR="00BC6B7C">
        <w:t xml:space="preserve">Pozycja zobowiązania i rezerwy na zobowiązania w wysokości </w:t>
      </w:r>
      <w:r w:rsidR="00E8655B">
        <w:t xml:space="preserve">2.595 </w:t>
      </w:r>
      <w:r w:rsidR="00B5717A">
        <w:t>tys.</w:t>
      </w:r>
      <w:r w:rsidR="00BC6B7C">
        <w:t xml:space="preserve"> zł stanowi 73% sumy </w:t>
      </w:r>
      <w:r w:rsidR="00BC6B7C" w:rsidRPr="00C95497">
        <w:t xml:space="preserve">bilansowej w roku 2022. Główną jej składową są rozliczenia międzyokresowe bierne w kwocie </w:t>
      </w:r>
      <w:r w:rsidR="00C95497">
        <w:t xml:space="preserve">              </w:t>
      </w:r>
      <w:r w:rsidR="00BC6B7C" w:rsidRPr="00C95497">
        <w:t>2.210</w:t>
      </w:r>
      <w:r w:rsidR="00B5717A" w:rsidRPr="00C95497">
        <w:t xml:space="preserve"> tys. </w:t>
      </w:r>
      <w:r w:rsidR="00BC6B7C" w:rsidRPr="00C95497">
        <w:t xml:space="preserve"> zł, stanowiące równowartość nieumorzonej dotąd części majątku trwałego otrzymanego lub sfinansowanego przez podmiot tworzący. Kwota rozliczeń międzyokresowych stanowi 62% sumy bilansowej.</w:t>
      </w:r>
    </w:p>
    <w:p w:rsidR="00BC6B7C" w:rsidRPr="00C717D1" w:rsidRDefault="00624459" w:rsidP="00E46C63">
      <w:pPr>
        <w:spacing w:after="0"/>
        <w:jc w:val="both"/>
      </w:pPr>
      <w:r>
        <w:tab/>
      </w:r>
      <w:r w:rsidR="00BC6B7C" w:rsidRPr="00C95497">
        <w:t xml:space="preserve">Pozostałą część pozycji B pasywów stanowią zobowiązania krótkoterminowe o wartości </w:t>
      </w:r>
      <w:r w:rsidR="00B5717A" w:rsidRPr="00C95497">
        <w:t xml:space="preserve">363 tys. </w:t>
      </w:r>
      <w:r w:rsidR="00BC6B7C" w:rsidRPr="00C95497">
        <w:t xml:space="preserve">zł oraz rezerwa w </w:t>
      </w:r>
      <w:r w:rsidR="00BC6B7C" w:rsidRPr="00C717D1">
        <w:t>kwocie 22</w:t>
      </w:r>
      <w:r w:rsidR="00B5717A" w:rsidRPr="00C717D1">
        <w:t xml:space="preserve"> tys.</w:t>
      </w:r>
      <w:r w:rsidR="00BC6B7C" w:rsidRPr="00C717D1">
        <w:t xml:space="preserve"> zł utworzona na koszty i skutki </w:t>
      </w:r>
      <w:r w:rsidR="00B5717A" w:rsidRPr="00C717D1">
        <w:t xml:space="preserve">toczącego się </w:t>
      </w:r>
      <w:r w:rsidR="00BC6B7C" w:rsidRPr="00C717D1">
        <w:t>postępowania sądowego.</w:t>
      </w:r>
    </w:p>
    <w:p w:rsidR="00BC6B7C" w:rsidRPr="00C717D1" w:rsidRDefault="00BC6B7C" w:rsidP="00E46C63">
      <w:pPr>
        <w:spacing w:after="0"/>
        <w:jc w:val="both"/>
      </w:pPr>
      <w:r w:rsidRPr="00C717D1">
        <w:t xml:space="preserve">Zobowiązania krótkoterminowe obejmują zobowiązania z tytułu dostaw i usług wartości </w:t>
      </w:r>
      <w:r w:rsidR="00B5717A" w:rsidRPr="00C717D1">
        <w:t xml:space="preserve">49 tys. </w:t>
      </w:r>
      <w:r w:rsidRPr="00C717D1">
        <w:t xml:space="preserve">zł, zobowiązania  z tytułu podatków, opłat i ubezpieczeń społecznych w kwocie </w:t>
      </w:r>
      <w:r w:rsidR="00B5717A" w:rsidRPr="00C717D1">
        <w:t>115 tys.</w:t>
      </w:r>
      <w:r w:rsidRPr="00C717D1">
        <w:t xml:space="preserve"> zł, zobowiązania </w:t>
      </w:r>
      <w:r w:rsidR="00C95497" w:rsidRPr="00C717D1">
        <w:t xml:space="preserve"> </w:t>
      </w:r>
      <w:r w:rsidRPr="00C717D1">
        <w:t xml:space="preserve">z tytułu niewykorzystanych kwot dotacji w kwocie </w:t>
      </w:r>
      <w:r w:rsidR="00B5717A" w:rsidRPr="00C717D1">
        <w:t>55 tys.</w:t>
      </w:r>
      <w:r w:rsidR="00C95497" w:rsidRPr="00C717D1">
        <w:t xml:space="preserve"> zł, </w:t>
      </w:r>
      <w:r w:rsidRPr="00C717D1">
        <w:t>zobowiązania z tytułu wynagrodzeń</w:t>
      </w:r>
      <w:r w:rsidR="00624459">
        <w:t xml:space="preserve">           </w:t>
      </w:r>
      <w:r w:rsidRPr="00C717D1">
        <w:t xml:space="preserve"> w kwocie </w:t>
      </w:r>
      <w:r w:rsidR="00C95497" w:rsidRPr="00C717D1">
        <w:t>136</w:t>
      </w:r>
      <w:r w:rsidR="00B5717A" w:rsidRPr="00C717D1">
        <w:t xml:space="preserve"> tys. </w:t>
      </w:r>
      <w:r w:rsidRPr="00C717D1">
        <w:t xml:space="preserve">zł oraz pozostałe zobowiązania wartości </w:t>
      </w:r>
      <w:r w:rsidR="00B5717A" w:rsidRPr="00C717D1">
        <w:t xml:space="preserve">8 tys. </w:t>
      </w:r>
      <w:r w:rsidRPr="00C717D1">
        <w:t>zł.</w:t>
      </w:r>
    </w:p>
    <w:p w:rsidR="00BC6B7C" w:rsidRDefault="00BC6B7C" w:rsidP="00E46C63">
      <w:pPr>
        <w:spacing w:after="0"/>
        <w:jc w:val="both"/>
      </w:pPr>
      <w:r>
        <w:t>Wartość zobowiązań krótkoterminowych na koniec 2022 roku wzrosła o 44% w stosunku do roku poprzedzającego. Ma to związek głównie ze wzrostem wynagrodzeń wraz z pochodnymi oraz otrzymanymi środkami z dotacji, które nie zostały do końca roku wykorzystane pozostając na koncie rozrachunków.</w:t>
      </w:r>
    </w:p>
    <w:p w:rsidR="00E8655B" w:rsidRDefault="00624459" w:rsidP="00E46C63">
      <w:pPr>
        <w:spacing w:after="0"/>
        <w:jc w:val="both"/>
      </w:pPr>
      <w:r>
        <w:tab/>
      </w:r>
      <w:r w:rsidR="00E8655B" w:rsidRPr="00767628">
        <w:t xml:space="preserve">Rozliczenia międzyokresowe wykazują spadek wartości o 10 tys. złotych w porównaniu do roku 2021. Na taki wynik miały wpływ odpisy amortyzacyjne od środków trwałych, pochodzących od organu </w:t>
      </w:r>
      <w:r w:rsidR="00E8655B" w:rsidRPr="00767628">
        <w:lastRenderedPageBreak/>
        <w:t>założycielskiego, które zmniejszyły wartość rozliczeń międzyokresowych o 79 tys. zł oraz zakupy środków trwałych finansowane z dotacji, których wartość zwiększyła tę pozycję o 69 tys. zł.</w:t>
      </w:r>
    </w:p>
    <w:p w:rsidR="00E46C63" w:rsidRDefault="00E46C63" w:rsidP="00E46C63">
      <w:pPr>
        <w:spacing w:after="0"/>
        <w:jc w:val="both"/>
      </w:pPr>
    </w:p>
    <w:p w:rsidR="008D66FF" w:rsidRPr="00E37EB4" w:rsidRDefault="008D66FF" w:rsidP="00627D05">
      <w:pPr>
        <w:shd w:val="clear" w:color="auto" w:fill="FFFFFF" w:themeFill="background1"/>
        <w:spacing w:before="120" w:after="120" w:line="276" w:lineRule="auto"/>
        <w:jc w:val="center"/>
        <w:rPr>
          <w:b/>
        </w:rPr>
      </w:pPr>
      <w:r w:rsidRPr="00E37EB4">
        <w:rPr>
          <w:b/>
        </w:rPr>
        <w:t>RACH</w:t>
      </w:r>
      <w:r w:rsidR="00E37EB4" w:rsidRPr="00E37EB4">
        <w:rPr>
          <w:b/>
        </w:rPr>
        <w:t>UNEK ZYSKÓW I STRAT ZA LATA 2021</w:t>
      </w:r>
      <w:r w:rsidRPr="00E37EB4">
        <w:rPr>
          <w:b/>
        </w:rPr>
        <w:t>, 20</w:t>
      </w:r>
      <w:r w:rsidR="00C04951" w:rsidRPr="00E37EB4">
        <w:rPr>
          <w:b/>
        </w:rPr>
        <w:t>2</w:t>
      </w:r>
      <w:r w:rsidR="00E37EB4" w:rsidRPr="00E37EB4">
        <w:rPr>
          <w:b/>
        </w:rPr>
        <w:t>2</w:t>
      </w:r>
    </w:p>
    <w:tbl>
      <w:tblPr>
        <w:tblW w:w="14834" w:type="dxa"/>
        <w:tblInd w:w="70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1"/>
        <w:gridCol w:w="146"/>
        <w:gridCol w:w="1134"/>
        <w:gridCol w:w="1275"/>
        <w:gridCol w:w="606"/>
        <w:gridCol w:w="851"/>
        <w:gridCol w:w="708"/>
        <w:gridCol w:w="683"/>
      </w:tblGrid>
      <w:tr w:rsidR="001F662E" w:rsidRPr="001F662E" w:rsidTr="00E37EB4">
        <w:trPr>
          <w:trHeight w:val="750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W w:w="9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4390"/>
              <w:gridCol w:w="815"/>
              <w:gridCol w:w="709"/>
              <w:gridCol w:w="851"/>
              <w:gridCol w:w="708"/>
              <w:gridCol w:w="709"/>
              <w:gridCol w:w="709"/>
            </w:tblGrid>
            <w:tr w:rsidR="00E37EB4" w:rsidRPr="00E37EB4" w:rsidTr="00E37EB4">
              <w:trPr>
                <w:trHeight w:val="300"/>
              </w:trPr>
              <w:tc>
                <w:tcPr>
                  <w:tcW w:w="47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Wyszczególnienie</w:t>
                  </w:r>
                </w:p>
              </w:tc>
              <w:tc>
                <w:tcPr>
                  <w:tcW w:w="308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Rok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Dynamika</w:t>
                  </w:r>
                </w:p>
              </w:tc>
            </w:tr>
            <w:tr w:rsidR="00E37EB4" w:rsidRPr="00E37EB4" w:rsidTr="00E37EB4">
              <w:trPr>
                <w:trHeight w:val="300"/>
              </w:trPr>
              <w:tc>
                <w:tcPr>
                  <w:tcW w:w="47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5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2021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2022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2022/2021</w:t>
                  </w:r>
                </w:p>
              </w:tc>
            </w:tr>
            <w:tr w:rsidR="00E37EB4" w:rsidRPr="00E37EB4" w:rsidTr="00E37EB4">
              <w:trPr>
                <w:trHeight w:val="480"/>
              </w:trPr>
              <w:tc>
                <w:tcPr>
                  <w:tcW w:w="47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tys. zł.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% udział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tys. zł.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% udział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tys. zł.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3F3F3F"/>
                      <w:sz w:val="18"/>
                      <w:szCs w:val="18"/>
                      <w:lang w:eastAsia="pl-PL"/>
                    </w:rPr>
                    <w:t>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A.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PRZYCHODY NETTO ZE SPRZEDAŻY I ZRÓWNANE Z NIMI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2 703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100,0%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3 178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475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117,6%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Przychody netto ze sprzedaży produktów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2 703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100,0%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3 177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474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117,5%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Zmiana stanu produktów 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74044B" w:rsidP="007404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74044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1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1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B.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KOSZTY DZIAŁALNOŚCI OPERACYJNEJ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2 772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102,6%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3 310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538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119,4%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Amortyzacja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137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5,1%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116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-       21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84,7%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Zużycie materiałów i energii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123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4,6%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149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5%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26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121,1%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Usługi obce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420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15,5%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411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-         9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97,9%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IV.</w:t>
                  </w:r>
                </w:p>
              </w:tc>
              <w:tc>
                <w:tcPr>
                  <w:tcW w:w="4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00320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Podatki i opłaty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12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0,4%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14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2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116,7%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V.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Wynagrodzenia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1 729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64,0%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2 200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69%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471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127,2%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VI.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Ubezpieczenia społeczne i inne świadczenia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347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12,8%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417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70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120,2%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VII.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Pozostałe koszty rodzajowe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 4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0,1%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3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-         1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75,0%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C.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ZYSK (STRATA) ZE SPRZEDAŻY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-          69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-2,6%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-      132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-4%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-       63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191,3%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D.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POZOSTAŁE PRZYCHODY OPERACYJNE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77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2,8%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180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6%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103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233,8%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Dotacje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103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3%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103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IV.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Inne przychody operacyjne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77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2,8%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77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2%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100,0%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E.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POZOSTAŁE KOSZTY OPERACYJNE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22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22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III.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Inne koszty operacyjne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22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22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F.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ZYSK (STRATA) Z DZIAŁALNOŚCI OPERACYJNEJ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0,3%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26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325,0%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G.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PRZYCHODY FINANSOWE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H.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KOSZTY FINANSOWE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0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0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I.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ZYSK (STRATA) BRUTTO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0,3%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26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325,8%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J.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PODATEK DOCHODOWY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0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0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51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K.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POZOSTAŁE OBOWIĄZKOWE ZMNIEJSZENIA ZYSKU (ZWIĘKSZENIA STRATY)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-   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-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    -    </w:t>
                  </w:r>
                </w:p>
              </w:tc>
            </w:tr>
            <w:tr w:rsidR="00E37EB4" w:rsidRPr="00E37EB4" w:rsidTr="00E37EB4">
              <w:trPr>
                <w:trHeight w:val="390"/>
              </w:trPr>
              <w:tc>
                <w:tcPr>
                  <w:tcW w:w="3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L.</w:t>
                  </w:r>
                </w:p>
              </w:tc>
              <w:tc>
                <w:tcPr>
                  <w:tcW w:w="4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ZYSK (STRATA) NETTO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   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0,3%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          26    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1%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 xml:space="preserve">        18 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7EB4" w:rsidRPr="00E37EB4" w:rsidRDefault="00E37EB4" w:rsidP="00E37EB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37EB4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pl-PL"/>
                    </w:rPr>
                    <w:t>322,1%</w:t>
                  </w:r>
                </w:p>
              </w:tc>
            </w:tr>
          </w:tbl>
          <w:p w:rsidR="00C63B56" w:rsidRPr="001F662E" w:rsidRDefault="00C63B56" w:rsidP="000549A9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D66FF" w:rsidRPr="001F662E" w:rsidRDefault="008D66FF" w:rsidP="000549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4C10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E37EB4">
        <w:trPr>
          <w:trHeight w:val="480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:rsidR="008A4DE3" w:rsidRDefault="00E403D7" w:rsidP="00624459">
            <w:pPr>
              <w:spacing w:after="0"/>
              <w:ind w:firstLine="639"/>
              <w:jc w:val="both"/>
            </w:pPr>
            <w:r>
              <w:t xml:space="preserve">W 2022 roku przychody </w:t>
            </w:r>
            <w:r w:rsidR="009F6ADA">
              <w:t>netto ze sprzedaży</w:t>
            </w:r>
            <w:r>
              <w:t xml:space="preserve"> SP ZOZ Centru</w:t>
            </w:r>
            <w:r w:rsidRPr="008A503F">
              <w:t xml:space="preserve">m Leczenia Uzależnień wyniosły  </w:t>
            </w:r>
            <w:r w:rsidR="00624459">
              <w:t xml:space="preserve">         </w:t>
            </w:r>
            <w:r w:rsidR="009F6ADA" w:rsidRPr="008A503F">
              <w:t>3.177</w:t>
            </w:r>
            <w:r w:rsidRPr="008A503F">
              <w:t xml:space="preserve"> </w:t>
            </w:r>
            <w:proofErr w:type="spellStart"/>
            <w:r w:rsidRPr="008A503F">
              <w:t>tys</w:t>
            </w:r>
            <w:proofErr w:type="spellEnd"/>
            <w:r w:rsidRPr="008A503F">
              <w:t xml:space="preserve"> zł</w:t>
            </w:r>
            <w:r w:rsidR="008A503F" w:rsidRPr="008A503F">
              <w:t xml:space="preserve"> </w:t>
            </w:r>
            <w:r w:rsidR="009F6ADA" w:rsidRPr="008A503F">
              <w:t xml:space="preserve"> i były o 17,5</w:t>
            </w:r>
            <w:r w:rsidRPr="008A503F">
              <w:t xml:space="preserve"> % wyższe ni</w:t>
            </w:r>
            <w:r w:rsidR="009F6ADA" w:rsidRPr="008A503F">
              <w:t>ż w roku  2021. (wzrost o 474</w:t>
            </w:r>
            <w:r w:rsidRPr="008A503F">
              <w:t xml:space="preserve"> tys. zł).</w:t>
            </w:r>
          </w:p>
          <w:p w:rsidR="00E403D7" w:rsidRDefault="00E403D7" w:rsidP="008A4DE3">
            <w:pPr>
              <w:spacing w:after="0"/>
              <w:jc w:val="both"/>
            </w:pPr>
            <w:r>
              <w:t>Na pozycję tą składają się w 81% przychody ze sprzedaży świadczeń zdrowotnych, finansowane</w:t>
            </w:r>
            <w:r w:rsidR="009F6ADA">
              <w:t xml:space="preserve">                </w:t>
            </w:r>
            <w:r>
              <w:t xml:space="preserve"> z Narodowego Funduszu Zdrowia, w 18% przychody z tytułu realizacji świadczeń zdrowotnych</w:t>
            </w:r>
            <w:r w:rsidR="009F6ADA">
              <w:t xml:space="preserve">                   </w:t>
            </w:r>
            <w:r>
              <w:t xml:space="preserve"> i profilaktycznych finansowanych z dotacji podmiotowej Urzędu Miasta Rzeszowa oraz pozostałe przychody </w:t>
            </w:r>
            <w:r w:rsidR="008A503F">
              <w:t xml:space="preserve">głównie </w:t>
            </w:r>
            <w:r>
              <w:t>z tytułu odpłatnych świadczeń zdrowotnych i zwrotu kosztów za energię cieplną oraz wodę i ścieki.</w:t>
            </w:r>
          </w:p>
          <w:p w:rsidR="00E403D7" w:rsidRPr="00E00350" w:rsidRDefault="00E403D7" w:rsidP="00624459">
            <w:pPr>
              <w:spacing w:after="0"/>
              <w:ind w:firstLine="639"/>
              <w:jc w:val="both"/>
            </w:pPr>
            <w:r w:rsidRPr="008A4DE3">
              <w:lastRenderedPageBreak/>
              <w:t xml:space="preserve">Koszty działalności operacyjnej wyniosły w 2022 roku </w:t>
            </w:r>
            <w:r w:rsidR="007800B2" w:rsidRPr="008A4DE3">
              <w:t xml:space="preserve">3.310 tys. </w:t>
            </w:r>
            <w:r w:rsidRPr="008A4DE3">
              <w:t xml:space="preserve">zł i były wyższe niż w roku 2021 </w:t>
            </w:r>
            <w:r w:rsidR="008A4DE3">
              <w:t xml:space="preserve">               </w:t>
            </w:r>
            <w:r w:rsidRPr="008A4DE3">
              <w:t>o 19</w:t>
            </w:r>
            <w:r w:rsidR="009F6ADA" w:rsidRPr="008A4DE3">
              <w:t>,4</w:t>
            </w:r>
            <w:r w:rsidRPr="008A4DE3">
              <w:t>%.</w:t>
            </w:r>
            <w:r w:rsidR="00003204" w:rsidRPr="008A4DE3">
              <w:t xml:space="preserve"> </w:t>
            </w:r>
            <w:r w:rsidRPr="008A4DE3">
              <w:t xml:space="preserve">Głównymi </w:t>
            </w:r>
            <w:r w:rsidR="008A4DE3">
              <w:t>ich składowymi</w:t>
            </w:r>
            <w:r w:rsidRPr="008A4DE3">
              <w:t xml:space="preserve"> były </w:t>
            </w:r>
            <w:r w:rsidR="008A503F" w:rsidRPr="008A4DE3">
              <w:t>wynagrodzenia</w:t>
            </w:r>
            <w:r w:rsidRPr="008A4DE3">
              <w:t xml:space="preserve"> </w:t>
            </w:r>
            <w:r w:rsidR="008A503F" w:rsidRPr="008A4DE3">
              <w:t>oraz u</w:t>
            </w:r>
            <w:r w:rsidR="008A503F" w:rsidRPr="008A4DE3">
              <w:t>bezpieczenia społeczne i inne świadczenia</w:t>
            </w:r>
            <w:r w:rsidR="008A503F" w:rsidRPr="008A4DE3">
              <w:t xml:space="preserve"> na rzecz pracowników</w:t>
            </w:r>
            <w:r w:rsidRPr="008A4DE3">
              <w:t xml:space="preserve">. </w:t>
            </w:r>
            <w:r w:rsidR="009F6ADA" w:rsidRPr="008A4DE3">
              <w:t>Wynagrodzenia stanowiły 69 % przychodów ze sprzedaży</w:t>
            </w:r>
            <w:r w:rsidR="008A4DE3">
              <w:t xml:space="preserve">                   </w:t>
            </w:r>
            <w:r w:rsidR="00E00350" w:rsidRPr="008A4DE3">
              <w:t xml:space="preserve"> </w:t>
            </w:r>
            <w:r w:rsidRPr="008A4DE3">
              <w:t xml:space="preserve">i zamknęły się sumą </w:t>
            </w:r>
            <w:r w:rsidR="007800B2" w:rsidRPr="008A4DE3">
              <w:t xml:space="preserve">2.200 tys. zł, </w:t>
            </w:r>
            <w:r>
              <w:t xml:space="preserve"> ubezpieczenia społeczne i inne świadczenia na rzecz pracowników  </w:t>
            </w:r>
            <w:r w:rsidRPr="00E00350">
              <w:t xml:space="preserve">wyniosły </w:t>
            </w:r>
            <w:r w:rsidR="007800B2" w:rsidRPr="00E00350">
              <w:t>417 tys.</w:t>
            </w:r>
            <w:r w:rsidRPr="00E00350">
              <w:t xml:space="preserve"> zł, to jest 13</w:t>
            </w:r>
            <w:r w:rsidR="009F6ADA" w:rsidRPr="00E00350">
              <w:t xml:space="preserve"> </w:t>
            </w:r>
            <w:r w:rsidRPr="00E00350">
              <w:t>%</w:t>
            </w:r>
            <w:r w:rsidR="009F6ADA" w:rsidRPr="00E00350">
              <w:t xml:space="preserve"> przychodów ze sprzedaży</w:t>
            </w:r>
            <w:r w:rsidRPr="00E00350">
              <w:t>.</w:t>
            </w:r>
            <w:r w:rsidR="007D6DDB">
              <w:t xml:space="preserve"> W sumie</w:t>
            </w:r>
            <w:r w:rsidR="009F6ADA" w:rsidRPr="00E00350">
              <w:t xml:space="preserve"> dwie</w:t>
            </w:r>
            <w:r w:rsidR="007D6DDB">
              <w:t xml:space="preserve"> wymienione  </w:t>
            </w:r>
            <w:r w:rsidR="009F6ADA" w:rsidRPr="00E00350">
              <w:t xml:space="preserve"> pozycje dają 82</w:t>
            </w:r>
            <w:r w:rsidRPr="00E00350">
              <w:t xml:space="preserve">% </w:t>
            </w:r>
            <w:r w:rsidR="009F6ADA" w:rsidRPr="00E00350">
              <w:t>przychodów ze sprzedaży</w:t>
            </w:r>
            <w:r w:rsidRPr="00E00350">
              <w:t xml:space="preserve">. Koszty wynagrodzeń wzrosły w stosunku do roku 2021 o </w:t>
            </w:r>
            <w:r w:rsidR="007800B2" w:rsidRPr="00E00350">
              <w:t xml:space="preserve">ponad </w:t>
            </w:r>
            <w:r w:rsidR="00003204" w:rsidRPr="00E00350">
              <w:t>27</w:t>
            </w:r>
            <w:r w:rsidR="009F6ADA" w:rsidRPr="00E00350">
              <w:t xml:space="preserve"> </w:t>
            </w:r>
            <w:r w:rsidR="00003204" w:rsidRPr="00E00350">
              <w:t>%.</w:t>
            </w:r>
          </w:p>
          <w:p w:rsidR="00E403D7" w:rsidRPr="00E00350" w:rsidRDefault="00E403D7" w:rsidP="008A4DE3">
            <w:pPr>
              <w:spacing w:after="0"/>
              <w:jc w:val="both"/>
            </w:pPr>
            <w:r w:rsidRPr="00E00350">
              <w:t xml:space="preserve">Z kolei koszty usług obcych, które wyniosły </w:t>
            </w:r>
            <w:r w:rsidR="007800B2" w:rsidRPr="00E00350">
              <w:t>411 tys.</w:t>
            </w:r>
            <w:r w:rsidRPr="00E00350">
              <w:t xml:space="preserve"> zł nieco spadły w stosunku do poprzedniego roku </w:t>
            </w:r>
            <w:r w:rsidR="00201354" w:rsidRPr="00E00350">
              <w:t xml:space="preserve">    </w:t>
            </w:r>
            <w:r w:rsidRPr="00E00350">
              <w:t xml:space="preserve">(o 2%) i zmniejszyły swój udział w </w:t>
            </w:r>
            <w:r w:rsidR="00201354" w:rsidRPr="00E00350">
              <w:t xml:space="preserve">przychodach ze sprzedaży </w:t>
            </w:r>
            <w:r w:rsidRPr="00E00350">
              <w:t>z 15</w:t>
            </w:r>
            <w:r w:rsidR="00201354" w:rsidRPr="00E00350">
              <w:t>,5</w:t>
            </w:r>
            <w:r w:rsidR="009F6ADA" w:rsidRPr="00E00350">
              <w:t xml:space="preserve"> </w:t>
            </w:r>
            <w:r w:rsidR="00201354" w:rsidRPr="00E00350">
              <w:t>% na 13</w:t>
            </w:r>
            <w:r w:rsidR="009F6ADA" w:rsidRPr="00E00350">
              <w:t xml:space="preserve"> </w:t>
            </w:r>
            <w:r w:rsidR="00003204" w:rsidRPr="00E00350">
              <w:t>%</w:t>
            </w:r>
            <w:r w:rsidRPr="00E00350">
              <w:t xml:space="preserve">. </w:t>
            </w:r>
          </w:p>
          <w:p w:rsidR="00E403D7" w:rsidRDefault="00E403D7" w:rsidP="008A4DE3">
            <w:pPr>
              <w:spacing w:after="0"/>
              <w:jc w:val="both"/>
            </w:pPr>
            <w:r w:rsidRPr="00E00350">
              <w:t>Powyższe zmiany w strukturze kosztów  związane były m.in. ze zmniejszeniem ilości osób świadczących usługi psychoterapii na podstawie umów kontraktowych, w stosunku do pracowników na umowę</w:t>
            </w:r>
            <w:r w:rsidR="00201354" w:rsidRPr="00E00350">
              <w:t xml:space="preserve">            </w:t>
            </w:r>
            <w:r w:rsidRPr="00E00350">
              <w:t xml:space="preserve"> o pracę. W roku 2022 wzrosło także zatrudnienie w związku z realizacją zadań w ramach dotacji celowej.</w:t>
            </w:r>
          </w:p>
          <w:p w:rsidR="00E403D7" w:rsidRDefault="00E403D7" w:rsidP="008A4DE3">
            <w:pPr>
              <w:spacing w:after="0"/>
              <w:jc w:val="both"/>
            </w:pPr>
            <w:r w:rsidRPr="00651E63">
              <w:t>Pozostałe koszty rodzajowe, tj. zużycie materiałów i energii w kwocie 14</w:t>
            </w:r>
            <w:r w:rsidR="00003204" w:rsidRPr="00651E63">
              <w:t>9 tys.</w:t>
            </w:r>
            <w:r w:rsidRPr="00651E63">
              <w:t xml:space="preserve"> zł, amortyzacja w kwocie </w:t>
            </w:r>
            <w:r w:rsidR="00003204" w:rsidRPr="00651E63">
              <w:t>116 tys.</w:t>
            </w:r>
            <w:r w:rsidRPr="00651E63">
              <w:t xml:space="preserve"> zł, podatki i opłaty w kwocie </w:t>
            </w:r>
            <w:r w:rsidR="00003204" w:rsidRPr="00651E63">
              <w:t>14 tys.</w:t>
            </w:r>
            <w:r w:rsidRPr="00651E63">
              <w:t xml:space="preserve"> zł oraz pozostałe koszty rodzajowe w kwocie </w:t>
            </w:r>
            <w:r w:rsidR="00D919C0" w:rsidRPr="00651E63">
              <w:t>3 tys.</w:t>
            </w:r>
            <w:r w:rsidRPr="00651E63">
              <w:t xml:space="preserve"> zł  stanowiły w sumie </w:t>
            </w:r>
            <w:r w:rsidR="00201354" w:rsidRPr="00651E63">
              <w:t>9</w:t>
            </w:r>
            <w:r w:rsidR="009F6ADA" w:rsidRPr="008A4DE3">
              <w:t xml:space="preserve"> </w:t>
            </w:r>
            <w:r w:rsidRPr="00651E63">
              <w:t xml:space="preserve">% </w:t>
            </w:r>
            <w:r w:rsidR="00201354" w:rsidRPr="00651E63">
              <w:t>przychodów ze sprzedaży</w:t>
            </w:r>
            <w:r w:rsidRPr="00651E63">
              <w:t>.</w:t>
            </w:r>
            <w:r w:rsidR="00651E63">
              <w:t xml:space="preserve"> </w:t>
            </w:r>
          </w:p>
          <w:p w:rsidR="00EF21E0" w:rsidRPr="00651E63" w:rsidRDefault="00EF21E0" w:rsidP="008A4DE3">
            <w:pPr>
              <w:spacing w:after="0"/>
              <w:jc w:val="both"/>
            </w:pPr>
          </w:p>
          <w:p w:rsidR="00F77303" w:rsidRPr="00F77303" w:rsidRDefault="00F77303" w:rsidP="00624459">
            <w:pPr>
              <w:spacing w:after="0"/>
              <w:ind w:firstLine="639"/>
              <w:jc w:val="both"/>
            </w:pPr>
            <w:r w:rsidRPr="00F77303">
              <w:t>Poszczególne pozycje kosztów działalności operacyjnej zawierają także koszty realizacji projektu finansowanego z dotacji celowej Urzędu Miasta. Przychody z tego tytułu o wartości 103 tys.</w:t>
            </w:r>
            <w:r w:rsidR="00624459">
              <w:t xml:space="preserve"> </w:t>
            </w:r>
            <w:r w:rsidRPr="00F77303">
              <w:t xml:space="preserve">zł wyszczególnione są  jako </w:t>
            </w:r>
            <w:r w:rsidR="00EF21E0">
              <w:t>d</w:t>
            </w:r>
            <w:r w:rsidRPr="00F77303">
              <w:t xml:space="preserve">otacje w pozycji: Pozostałe przychody operacyjne. </w:t>
            </w:r>
          </w:p>
          <w:p w:rsidR="00E403D7" w:rsidRDefault="00E403D7" w:rsidP="008A4DE3">
            <w:pPr>
              <w:spacing w:after="0"/>
              <w:jc w:val="both"/>
            </w:pPr>
            <w:r w:rsidRPr="008A4DE3">
              <w:t xml:space="preserve">Drugą </w:t>
            </w:r>
            <w:r w:rsidR="00E04E3C">
              <w:t>składową</w:t>
            </w:r>
            <w:r w:rsidRPr="008A4DE3">
              <w:t xml:space="preserve"> pozostałych przychodów operacyjnych jest kwota </w:t>
            </w:r>
            <w:r w:rsidR="00D919C0" w:rsidRPr="008A4DE3">
              <w:t xml:space="preserve">77 tys. </w:t>
            </w:r>
            <w:r w:rsidRPr="008A4DE3">
              <w:t xml:space="preserve"> zł. Składają się na nią wartości zarachowywane na przychody współmiernie do amortyzacji środków trwałych otrzymanych przez placówkę nieodpłatnie lub których zakup został sfinansowany ze środków zewnętrznych </w:t>
            </w:r>
            <w:r w:rsidR="006119B9">
              <w:t xml:space="preserve">               </w:t>
            </w:r>
            <w:r w:rsidRPr="008A4DE3">
              <w:t>w poprzednich latach</w:t>
            </w:r>
            <w:r w:rsidR="00371B7D" w:rsidRPr="008A4DE3">
              <w:t xml:space="preserve">, w </w:t>
            </w:r>
            <w:r w:rsidRPr="008A4DE3">
              <w:t xml:space="preserve">kwocie </w:t>
            </w:r>
            <w:r w:rsidR="00D919C0" w:rsidRPr="008A4DE3">
              <w:t>76 tys.</w:t>
            </w:r>
            <w:r w:rsidRPr="008A4DE3">
              <w:t xml:space="preserve"> zł oraz pozostałe przychody o wartości  </w:t>
            </w:r>
            <w:r w:rsidR="00D919C0" w:rsidRPr="008A4DE3">
              <w:t>1 tys.</w:t>
            </w:r>
            <w:r w:rsidRPr="008A4DE3">
              <w:t xml:space="preserve"> zł.</w:t>
            </w:r>
            <w:r w:rsidR="00201354" w:rsidRPr="008A4DE3">
              <w:t xml:space="preserve"> Ogólnie pozycja pozostałych przychodów operacyjnych zamknęła się kwotą 180 tys. zł</w:t>
            </w:r>
            <w:r w:rsidR="00371B7D" w:rsidRPr="008A4DE3">
              <w:t>, która stanowi 6% przychodów ze sprzedaży.</w:t>
            </w:r>
          </w:p>
          <w:p w:rsidR="00EF21E0" w:rsidRPr="008A4DE3" w:rsidRDefault="00EF21E0" w:rsidP="008A4DE3">
            <w:pPr>
              <w:spacing w:after="0"/>
              <w:jc w:val="both"/>
            </w:pPr>
          </w:p>
          <w:p w:rsidR="00E403D7" w:rsidRPr="008A4DE3" w:rsidRDefault="00371B7D" w:rsidP="00624459">
            <w:pPr>
              <w:spacing w:after="0"/>
              <w:ind w:firstLine="639"/>
              <w:jc w:val="both"/>
            </w:pPr>
            <w:r w:rsidRPr="008A4DE3">
              <w:t xml:space="preserve">Po </w:t>
            </w:r>
            <w:r w:rsidR="00E403D7" w:rsidRPr="008A4DE3">
              <w:t>uwzględnieniu pozostałych przychodów</w:t>
            </w:r>
            <w:r w:rsidR="008A5BA0" w:rsidRPr="008A4DE3">
              <w:t xml:space="preserve"> operacyjnych</w:t>
            </w:r>
            <w:r w:rsidR="00E403D7" w:rsidRPr="008A4DE3">
              <w:t xml:space="preserve"> i </w:t>
            </w:r>
            <w:r w:rsidR="008A5BA0" w:rsidRPr="008A4DE3">
              <w:t xml:space="preserve">pozostałych kosztów operacyjnych, powstałych w wyniku utworzenia rezerwy, </w:t>
            </w:r>
            <w:r w:rsidR="00E403D7" w:rsidRPr="008A4DE3">
              <w:t xml:space="preserve">oraz podatku </w:t>
            </w:r>
            <w:r w:rsidR="008A5BA0" w:rsidRPr="008A4DE3">
              <w:t>dochodowego</w:t>
            </w:r>
            <w:r w:rsidR="00E403D7" w:rsidRPr="008A4DE3">
              <w:t xml:space="preserve"> placówka wypracowała zysk netto w wysokości </w:t>
            </w:r>
            <w:r w:rsidR="008A5BA0" w:rsidRPr="008A4DE3">
              <w:t xml:space="preserve">26 tys. </w:t>
            </w:r>
            <w:r w:rsidR="00E403D7" w:rsidRPr="008A4DE3">
              <w:t xml:space="preserve"> zł. </w:t>
            </w:r>
          </w:p>
          <w:p w:rsidR="00E37EB4" w:rsidRPr="001F662E" w:rsidRDefault="00E37EB4" w:rsidP="001D6EDA">
            <w:pPr>
              <w:spacing w:after="120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8D66FF" w:rsidRPr="001F662E" w:rsidRDefault="008D66F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E854A2" w:rsidRPr="00844CD8" w:rsidRDefault="00E854A2" w:rsidP="00627D05">
      <w:pPr>
        <w:pStyle w:val="Bezodstpw"/>
        <w:shd w:val="clear" w:color="auto" w:fill="FFFFFF" w:themeFill="background1"/>
        <w:spacing w:line="276" w:lineRule="auto"/>
        <w:jc w:val="both"/>
      </w:pPr>
      <w:r w:rsidRPr="00844CD8">
        <w:lastRenderedPageBreak/>
        <w:t>Wyniki z działalności przedstawiają się następująco:</w:t>
      </w:r>
    </w:p>
    <w:tbl>
      <w:tblPr>
        <w:tblW w:w="65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360"/>
        <w:gridCol w:w="1380"/>
      </w:tblGrid>
      <w:tr w:rsidR="005C5A60" w:rsidRPr="005C5A60" w:rsidTr="00B238B2">
        <w:trPr>
          <w:trHeight w:val="446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2022</w:t>
            </w:r>
          </w:p>
        </w:tc>
      </w:tr>
      <w:tr w:rsidR="005C5A60" w:rsidRPr="005C5A60" w:rsidTr="00B238B2">
        <w:trPr>
          <w:trHeight w:val="44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ze sprzedaży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 68 837,07 zł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-     131 458,93 zł </w:t>
            </w:r>
          </w:p>
        </w:tc>
      </w:tr>
      <w:tr w:rsidR="005C5A60" w:rsidRPr="005C5A60" w:rsidTr="00B238B2">
        <w:trPr>
          <w:trHeight w:val="44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z działalności operacyjnej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7 815,18 zł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26 405,63 zł </w:t>
            </w:r>
          </w:p>
        </w:tc>
      </w:tr>
      <w:tr w:rsidR="005C5A60" w:rsidRPr="005C5A60" w:rsidTr="00B238B2">
        <w:trPr>
          <w:trHeight w:val="44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brutto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7 797,24 zł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26 405,63 zł </w:t>
            </w:r>
          </w:p>
        </w:tc>
      </w:tr>
      <w:tr w:rsidR="005C5A60" w:rsidRPr="005C5A60" w:rsidTr="00B238B2">
        <w:trPr>
          <w:trHeight w:val="44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Wynik netto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 7 797,24 zł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60" w:rsidRPr="005C5A60" w:rsidRDefault="005C5A60" w:rsidP="005C5A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5C5A6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       26 066,63 zł </w:t>
            </w:r>
          </w:p>
        </w:tc>
      </w:tr>
    </w:tbl>
    <w:p w:rsidR="006E24CE" w:rsidRDefault="006E24CE" w:rsidP="00627D05">
      <w:pPr>
        <w:pStyle w:val="Bezodstpw"/>
        <w:shd w:val="clear" w:color="auto" w:fill="FFFFFF" w:themeFill="background1"/>
        <w:spacing w:line="276" w:lineRule="auto"/>
        <w:jc w:val="both"/>
        <w:rPr>
          <w:sz w:val="24"/>
          <w:szCs w:val="24"/>
        </w:rPr>
      </w:pPr>
    </w:p>
    <w:p w:rsidR="00610F58" w:rsidRPr="00EF2B22" w:rsidRDefault="00624459" w:rsidP="00627D05">
      <w:pPr>
        <w:pStyle w:val="Bezodstpw"/>
        <w:shd w:val="clear" w:color="auto" w:fill="FFFFFF" w:themeFill="background1"/>
        <w:spacing w:line="276" w:lineRule="auto"/>
        <w:jc w:val="both"/>
      </w:pPr>
      <w:r>
        <w:tab/>
      </w:r>
      <w:r w:rsidR="005C5A60" w:rsidRPr="00EF2B22">
        <w:t xml:space="preserve">Jednostka zanotowała w roku 2022 prawie dwukrotną stratę ze sprzedaży w porównaniu do poprzedniego roku. Wynika to z ujęcia kosztów programu finansowanego z dotacji celowej </w:t>
      </w:r>
      <w:r w:rsidR="00553D5B" w:rsidRPr="00EF2B22">
        <w:t xml:space="preserve">   </w:t>
      </w:r>
      <w:r w:rsidR="00EF2B22">
        <w:t xml:space="preserve">                  </w:t>
      </w:r>
      <w:r w:rsidR="00553D5B" w:rsidRPr="00EF2B22">
        <w:t xml:space="preserve">   </w:t>
      </w:r>
      <w:r w:rsidR="005C5A60" w:rsidRPr="00EF2B22">
        <w:t xml:space="preserve">w działalności operacyjnej, natomiast przychodów z tego tytułu w pozostałej działalności operacyjnej. Ogólnie przychody i </w:t>
      </w:r>
      <w:r w:rsidR="00553D5B" w:rsidRPr="00EF2B22">
        <w:t xml:space="preserve">koszty dotyczące </w:t>
      </w:r>
      <w:r w:rsidR="005C5A60" w:rsidRPr="00EF2B22">
        <w:t>programu były sobie równe, co miało neutralny wpływ na wynik finansowy placówki</w:t>
      </w:r>
      <w:r w:rsidR="00FD4A94" w:rsidRPr="00EF2B22">
        <w:t>. Ostatecznie placówka osiągnęła dodatni wyn</w:t>
      </w:r>
      <w:r w:rsidR="00553D5B" w:rsidRPr="00EF2B22">
        <w:t>ik finansowy, który przeznaczony został</w:t>
      </w:r>
      <w:r w:rsidR="00FD4A94" w:rsidRPr="00EF2B22">
        <w:t xml:space="preserve"> na zwiększenie funduszu zakładu.</w:t>
      </w:r>
    </w:p>
    <w:p w:rsidR="009A6599" w:rsidRDefault="009A6599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</w:p>
    <w:p w:rsidR="00F84BBB" w:rsidRDefault="00F84BBB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</w:p>
    <w:p w:rsidR="00EF2B22" w:rsidRDefault="00EF2B22" w:rsidP="00627D05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</w:rPr>
      </w:pPr>
    </w:p>
    <w:p w:rsidR="009A6599" w:rsidRPr="00367454" w:rsidRDefault="009A6599" w:rsidP="00627D05">
      <w:pPr>
        <w:shd w:val="clear" w:color="auto" w:fill="FFFFFF" w:themeFill="background1"/>
        <w:rPr>
          <w:b/>
        </w:rPr>
      </w:pPr>
      <w:r w:rsidRPr="00367454">
        <w:rPr>
          <w:b/>
        </w:rPr>
        <w:lastRenderedPageBreak/>
        <w:t xml:space="preserve">III. </w:t>
      </w:r>
      <w:r w:rsidRPr="00367454">
        <w:rPr>
          <w:b/>
        </w:rPr>
        <w:tab/>
        <w:t>ZATRUDNIENIE</w:t>
      </w:r>
    </w:p>
    <w:p w:rsidR="009A6599" w:rsidRPr="00EF2B22" w:rsidRDefault="009A6599" w:rsidP="00B2761B">
      <w:pPr>
        <w:shd w:val="clear" w:color="auto" w:fill="FFFFFF" w:themeFill="background1"/>
        <w:spacing w:after="0"/>
      </w:pPr>
      <w:r w:rsidRPr="00EF2B22">
        <w:t xml:space="preserve">Liczba </w:t>
      </w:r>
      <w:r w:rsidR="00367454" w:rsidRPr="00EF2B22">
        <w:t>osób zatrudnionych w latach 2021</w:t>
      </w:r>
      <w:r w:rsidRPr="00EF2B22">
        <w:t xml:space="preserve"> i 20</w:t>
      </w:r>
      <w:r w:rsidR="00C300AD" w:rsidRPr="00EF2B22">
        <w:t>2</w:t>
      </w:r>
      <w:r w:rsidR="00367454" w:rsidRPr="00EF2B22">
        <w:t>2</w:t>
      </w:r>
      <w:r w:rsidRPr="00EF2B22">
        <w:t xml:space="preserve"> w rozbiciu na</w:t>
      </w:r>
      <w:r w:rsidR="00B2761B" w:rsidRPr="00EF2B22">
        <w:t xml:space="preserve"> </w:t>
      </w:r>
      <w:r w:rsidRPr="00EF2B22">
        <w:t>poszczególne grupy zawodowe</w:t>
      </w:r>
      <w:r w:rsidR="00457E1D" w:rsidRPr="00EF2B22">
        <w:t xml:space="preserve">  </w:t>
      </w:r>
      <w:r w:rsidRPr="00EF2B22">
        <w:t xml:space="preserve"> i formę zatrudnienia</w:t>
      </w:r>
      <w:r w:rsidR="000131E8" w:rsidRPr="00EF2B22">
        <w:t>.</w:t>
      </w:r>
    </w:p>
    <w:tbl>
      <w:tblPr>
        <w:tblW w:w="91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60"/>
        <w:gridCol w:w="1020"/>
        <w:gridCol w:w="980"/>
        <w:gridCol w:w="980"/>
        <w:gridCol w:w="1000"/>
        <w:gridCol w:w="980"/>
      </w:tblGrid>
      <w:tr w:rsidR="00B238B2" w:rsidRPr="00B238B2" w:rsidTr="00B238B2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 xml:space="preserve">Grupa zawodowa 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o pracę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kontrakt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Umowa zlecenie</w:t>
            </w:r>
          </w:p>
        </w:tc>
      </w:tr>
      <w:tr w:rsidR="00B238B2" w:rsidRPr="00B238B2" w:rsidTr="00B238B2">
        <w:trPr>
          <w:trHeight w:val="6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Etaty przeliczeniowe średnio rocznie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Osoby na dzień 31.XII</w:t>
            </w:r>
          </w:p>
        </w:tc>
      </w:tr>
      <w:tr w:rsidR="00B238B2" w:rsidRPr="00B238B2" w:rsidTr="00B238B2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2022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medycyny rodzinnej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Lekarz psychiatra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0,40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0,40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Specjalista psychoterapii uzależnień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10,11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10,25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Superwizor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Pedagog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3,53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3,60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Ratownik medyczny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Pielęgniarki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5,00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4A1BF1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Kapelan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Statystyk medyczny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Sekretarka medyczna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367454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  <w:r w:rsidR="00B238B2"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Farmaceuta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Administracja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2,71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2,85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Obsługa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1,00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 </w:t>
            </w:r>
            <w:r w:rsidR="0036745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</w:tr>
      <w:tr w:rsidR="00B238B2" w:rsidRPr="00B238B2" w:rsidTr="00B238B2">
        <w:trPr>
          <w:trHeight w:val="3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25,75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25,1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4A1BF1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8B2" w:rsidRPr="00B238B2" w:rsidRDefault="00B238B2" w:rsidP="00B238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</w:pPr>
            <w:r w:rsidRPr="00B238B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12</w:t>
            </w:r>
          </w:p>
        </w:tc>
      </w:tr>
    </w:tbl>
    <w:p w:rsidR="00B238B2" w:rsidRDefault="00B238B2" w:rsidP="00B238B2">
      <w:pPr>
        <w:pStyle w:val="Bezodstpw"/>
        <w:shd w:val="clear" w:color="auto" w:fill="FFFFFF" w:themeFill="background1"/>
        <w:spacing w:line="276" w:lineRule="auto"/>
        <w:jc w:val="both"/>
        <w:rPr>
          <w:color w:val="FF0000"/>
          <w:sz w:val="24"/>
          <w:szCs w:val="24"/>
        </w:rPr>
      </w:pPr>
    </w:p>
    <w:p w:rsidR="0054728E" w:rsidRPr="00EF2B22" w:rsidRDefault="00351AFE" w:rsidP="00B238B2">
      <w:pPr>
        <w:pStyle w:val="Bezodstpw"/>
        <w:shd w:val="clear" w:color="auto" w:fill="FFFFFF" w:themeFill="background1"/>
        <w:spacing w:line="276" w:lineRule="auto"/>
        <w:jc w:val="both"/>
      </w:pPr>
      <w:r>
        <w:tab/>
      </w:r>
      <w:r w:rsidR="00367454" w:rsidRPr="00EF2B22">
        <w:t xml:space="preserve">W 2022 roku w SP ZOZ Centrum Leczenia Uzależnień miały miejsce zmiany kadrowe, głównie </w:t>
      </w:r>
      <w:r w:rsidR="00EF2B22">
        <w:t xml:space="preserve">                    </w:t>
      </w:r>
      <w:r w:rsidR="00367454" w:rsidRPr="00EF2B22">
        <w:t>na stanowiskach administracyjnych, łącznie ze zmianą dyrektora placówki. Z działu administracji</w:t>
      </w:r>
      <w:r w:rsidR="00EF2B22">
        <w:t xml:space="preserve">                  </w:t>
      </w:r>
      <w:r w:rsidR="00367454" w:rsidRPr="00EF2B22">
        <w:t xml:space="preserve"> 2 pracowników odeszło na emeryturę (1,5 etatu), 1 pracownik przeszedł do działu administracji </w:t>
      </w:r>
      <w:r w:rsidR="00EF2B22">
        <w:t xml:space="preserve">               </w:t>
      </w:r>
      <w:r w:rsidR="00367454" w:rsidRPr="00EF2B22">
        <w:t>ze stanowiska statystyka medycznego. Dwie pracownice: statystyk medyczny</w:t>
      </w:r>
      <w:r w:rsidR="00AD7D98" w:rsidRPr="00EF2B22">
        <w:t xml:space="preserve"> (grudzień 2021)</w:t>
      </w:r>
      <w:r w:rsidR="00EF2B22">
        <w:t xml:space="preserve">                      </w:t>
      </w:r>
      <w:r w:rsidR="00367454" w:rsidRPr="00EF2B22">
        <w:t xml:space="preserve"> i pedagog, powróciły do pracy z urlopów rodzicielskich. Ponadto zatrudniono </w:t>
      </w:r>
      <w:r w:rsidR="004A1BF1" w:rsidRPr="00EF2B22">
        <w:t xml:space="preserve">2 </w:t>
      </w:r>
      <w:r w:rsidR="00367454" w:rsidRPr="00EF2B22">
        <w:t>pielęgniarki na umowy zlecenie</w:t>
      </w:r>
      <w:r w:rsidR="004A1BF1" w:rsidRPr="00EF2B22">
        <w:t xml:space="preserve"> oraz 1 na umowę kontraktową</w:t>
      </w:r>
      <w:r w:rsidR="00367454" w:rsidRPr="00EF2B22">
        <w:t>, w celu utrzymania ciągłości opieki pielęgniarskiej</w:t>
      </w:r>
      <w:r w:rsidR="00907A1D" w:rsidRPr="00EF2B22">
        <w:t xml:space="preserve"> w placówce w czasie zwolnień chorobowych</w:t>
      </w:r>
      <w:r w:rsidR="00DE081C" w:rsidRPr="00EF2B22">
        <w:t xml:space="preserve"> </w:t>
      </w:r>
      <w:r w:rsidR="00907A1D" w:rsidRPr="00EF2B22">
        <w:t>i urlopów pracowników.</w:t>
      </w:r>
      <w:r w:rsidR="00570F32" w:rsidRPr="00EF2B22">
        <w:t xml:space="preserve"> </w:t>
      </w:r>
      <w:r w:rsidR="00656DCB" w:rsidRPr="00EF2B22">
        <w:t xml:space="preserve">W grupie zawodowej Specjalistów psychoterapii uzależnień – 1 osoba zatrudniona na kontrakcie rozwiązała umowę, 1 osoba przeszła </w:t>
      </w:r>
      <w:r w:rsidR="00EF2B22">
        <w:t xml:space="preserve">              </w:t>
      </w:r>
      <w:r w:rsidR="00656DCB" w:rsidRPr="00EF2B22">
        <w:t xml:space="preserve">z umowy kontraktowej na umowę o pracę, 1 osoba przeszła na emeryturę ale kontynuuje współpracę </w:t>
      </w:r>
      <w:r w:rsidR="00EF2B22">
        <w:t xml:space="preserve">                        </w:t>
      </w:r>
      <w:r w:rsidR="00656DCB" w:rsidRPr="00EF2B22">
        <w:t>z placówką</w:t>
      </w:r>
      <w:r w:rsidR="000C3D84" w:rsidRPr="00EF2B22">
        <w:t xml:space="preserve"> </w:t>
      </w:r>
      <w:r w:rsidR="006E24CE" w:rsidRPr="00EF2B22">
        <w:t>na podstawie umowy</w:t>
      </w:r>
      <w:r w:rsidR="000C3D84" w:rsidRPr="00EF2B22">
        <w:t xml:space="preserve"> kontraktu</w:t>
      </w:r>
      <w:r w:rsidR="006E24CE" w:rsidRPr="00EF2B22">
        <w:t xml:space="preserve"> -</w:t>
      </w:r>
      <w:r w:rsidR="000C3D84" w:rsidRPr="00EF2B22">
        <w:t xml:space="preserve"> w ograniczonej ilości godzin.</w:t>
      </w:r>
    </w:p>
    <w:p w:rsidR="00FD5988" w:rsidRPr="00EF2B22" w:rsidRDefault="00570F32" w:rsidP="00B238B2">
      <w:pPr>
        <w:pStyle w:val="Bezodstpw"/>
        <w:shd w:val="clear" w:color="auto" w:fill="FFFFFF" w:themeFill="background1"/>
        <w:spacing w:line="276" w:lineRule="auto"/>
        <w:jc w:val="both"/>
        <w:rPr>
          <w:b/>
        </w:rPr>
      </w:pPr>
      <w:r w:rsidRPr="00EF2B22">
        <w:t>W związku z realizacją programu wsparcia dla dzieci z Polski i Ukrainy w ramach dotacji celowej Urzędu Miasta Rzeszowa, przy wsparciu organizacji UNICEF</w:t>
      </w:r>
      <w:r w:rsidR="0054728E" w:rsidRPr="00EF2B22">
        <w:t>, zatrudniono dodatkowo na umowy</w:t>
      </w:r>
      <w:r w:rsidRPr="00EF2B22">
        <w:t xml:space="preserve"> zlecenie</w:t>
      </w:r>
      <w:r w:rsidR="00EF2B22">
        <w:t xml:space="preserve">                </w:t>
      </w:r>
      <w:r w:rsidRPr="00EF2B22">
        <w:t xml:space="preserve"> 3 pedagogów SP ZOZ CLU oraz </w:t>
      </w:r>
      <w:r w:rsidR="00656DCB" w:rsidRPr="00EF2B22">
        <w:t>na umowę o pracę</w:t>
      </w:r>
      <w:r w:rsidRPr="00EF2B22">
        <w:t xml:space="preserve"> pomoc pedagoga/tłumacza języ</w:t>
      </w:r>
      <w:r w:rsidR="00656DCB" w:rsidRPr="00EF2B22">
        <w:t>ka Ukraińskiego</w:t>
      </w:r>
      <w:r w:rsidRPr="00EF2B22">
        <w:t xml:space="preserve">. </w:t>
      </w:r>
    </w:p>
    <w:p w:rsidR="00FD5988" w:rsidRPr="00EF2B22" w:rsidRDefault="00351AFE" w:rsidP="00627D05">
      <w:pPr>
        <w:shd w:val="clear" w:color="auto" w:fill="FFFFFF" w:themeFill="background1"/>
        <w:spacing w:before="120" w:after="120" w:line="276" w:lineRule="auto"/>
        <w:jc w:val="both"/>
      </w:pPr>
      <w:r>
        <w:tab/>
      </w:r>
      <w:r w:rsidR="00656DCB" w:rsidRPr="00EF2B22">
        <w:t>Ogólny stan zatrudnienia w placówce pozostał na podobnym poziomie.</w:t>
      </w:r>
    </w:p>
    <w:p w:rsidR="00F84BBB" w:rsidRDefault="00F84BBB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84BBB" w:rsidRDefault="00F84BBB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EF2B22" w:rsidRDefault="00EF2B22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F84BBB" w:rsidRPr="00656DCB" w:rsidRDefault="00F84BBB" w:rsidP="00627D05">
      <w:pPr>
        <w:shd w:val="clear" w:color="auto" w:fill="FFFFFF" w:themeFill="background1"/>
        <w:spacing w:before="120" w:after="120" w:line="276" w:lineRule="auto"/>
        <w:jc w:val="both"/>
      </w:pPr>
    </w:p>
    <w:p w:rsidR="00426334" w:rsidRDefault="001A67DE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  <w:r w:rsidRPr="000675EC">
        <w:rPr>
          <w:b/>
        </w:rPr>
        <w:t>IV.</w:t>
      </w:r>
      <w:r w:rsidRPr="000675EC">
        <w:rPr>
          <w:b/>
        </w:rPr>
        <w:tab/>
        <w:t>WSKAŹNIKI EKONOMICZNO – FINANSOWE</w:t>
      </w:r>
    </w:p>
    <w:p w:rsidR="009B0BED" w:rsidRPr="000675EC" w:rsidRDefault="009B0BED" w:rsidP="00627D05">
      <w:pPr>
        <w:shd w:val="clear" w:color="auto" w:fill="FFFFFF" w:themeFill="background1"/>
        <w:spacing w:before="120" w:after="120" w:line="276" w:lineRule="auto"/>
        <w:jc w:val="both"/>
        <w:rPr>
          <w:b/>
        </w:rPr>
      </w:pPr>
    </w:p>
    <w:tbl>
      <w:tblPr>
        <w:tblW w:w="988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520"/>
        <w:gridCol w:w="125"/>
        <w:gridCol w:w="19"/>
        <w:gridCol w:w="547"/>
        <w:gridCol w:w="761"/>
        <w:gridCol w:w="597"/>
        <w:gridCol w:w="159"/>
        <w:gridCol w:w="756"/>
        <w:gridCol w:w="96"/>
        <w:gridCol w:w="617"/>
        <w:gridCol w:w="343"/>
        <w:gridCol w:w="143"/>
        <w:gridCol w:w="1142"/>
        <w:gridCol w:w="1628"/>
        <w:gridCol w:w="207"/>
        <w:gridCol w:w="94"/>
        <w:gridCol w:w="1465"/>
        <w:gridCol w:w="598"/>
      </w:tblGrid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b/>
                <w:bCs/>
                <w:lang w:eastAsia="pl-PL"/>
              </w:rPr>
              <w:t>I.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7566B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ZYSKOWNOŚCI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7566B6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>Wskaźnik zyskowności netto (%)</w:t>
            </w:r>
            <w:r w:rsidR="00A344EC" w:rsidRPr="007566B6">
              <w:rPr>
                <w:rFonts w:ascii="Calibri" w:eastAsia="Times New Roman" w:hAnsi="Calibri" w:cs="Calibri"/>
                <w:lang w:eastAsia="pl-PL"/>
              </w:rPr>
              <w:t xml:space="preserve"> = </w:t>
            </w:r>
            <w:r w:rsidR="007566B6" w:rsidRPr="007566B6">
              <w:rPr>
                <w:rFonts w:ascii="Calibri" w:eastAsia="Times New Roman" w:hAnsi="Calibri" w:cs="Calibri"/>
                <w:lang w:eastAsia="pl-PL"/>
              </w:rPr>
              <w:t xml:space="preserve">0,78      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Wynik netto x 100 %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B82A49" w:rsidP="00233F4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233F4E" w:rsidRPr="007566B6">
              <w:rPr>
                <w:rFonts w:ascii="Calibri" w:eastAsia="Times New Roman" w:hAnsi="Calibri" w:cs="Calibri"/>
                <w:lang w:eastAsia="pl-PL"/>
              </w:rPr>
              <w:t>26 066,63</w:t>
            </w:r>
          </w:p>
        </w:tc>
      </w:tr>
      <w:tr w:rsidR="001F662E" w:rsidRPr="001F662E" w:rsidTr="009B0BED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 + przychody finansowe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B82A49" w:rsidP="00233F4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233F4E" w:rsidRPr="007566B6">
              <w:rPr>
                <w:rFonts w:ascii="Calibri" w:eastAsia="Times New Roman" w:hAnsi="Calibri" w:cs="Calibri"/>
                <w:lang w:eastAsia="pl-PL"/>
              </w:rPr>
              <w:t>3 357 072,68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2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>Wskaźnik zyskowności</w:t>
            </w:r>
            <w:r w:rsidR="00A344EC" w:rsidRPr="00720FF7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 xml:space="preserve"> działa</w:t>
            </w:r>
            <w:r w:rsidR="00A344EC" w:rsidRPr="00720FF7">
              <w:rPr>
                <w:rFonts w:ascii="Calibri" w:eastAsia="Times New Roman" w:hAnsi="Calibri" w:cs="Calibri"/>
                <w:b/>
                <w:lang w:eastAsia="pl-PL"/>
              </w:rPr>
              <w:t>l</w:t>
            </w: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>ności operacyjnej</w:t>
            </w:r>
            <w:r w:rsidRPr="007566B6">
              <w:rPr>
                <w:rFonts w:ascii="Calibri" w:eastAsia="Times New Roman" w:hAnsi="Calibri" w:cs="Calibri"/>
                <w:lang w:eastAsia="pl-PL"/>
              </w:rPr>
              <w:t xml:space="preserve"> (%)</w:t>
            </w:r>
            <w:r w:rsidR="007566B6" w:rsidRPr="007566B6">
              <w:rPr>
                <w:rFonts w:ascii="Calibri" w:eastAsia="Times New Roman" w:hAnsi="Calibri" w:cs="Calibri"/>
                <w:lang w:eastAsia="pl-PL"/>
              </w:rPr>
              <w:t xml:space="preserve"> =  0,79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Wynik z działa</w:t>
            </w:r>
            <w:r w:rsidR="00A344EC" w:rsidRPr="007566B6">
              <w:rPr>
                <w:rFonts w:ascii="Calibri" w:eastAsia="Times New Roman" w:hAnsi="Calibri" w:cs="Calibri"/>
                <w:lang w:eastAsia="pl-PL"/>
              </w:rPr>
              <w:t>l</w:t>
            </w:r>
            <w:r w:rsidRPr="007566B6">
              <w:rPr>
                <w:rFonts w:ascii="Calibri" w:eastAsia="Times New Roman" w:hAnsi="Calibri" w:cs="Calibri"/>
                <w:lang w:eastAsia="pl-PL"/>
              </w:rPr>
              <w:t>ności operacyjnej x 100 %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7566B6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26 405,63</w:t>
            </w:r>
          </w:p>
        </w:tc>
      </w:tr>
      <w:tr w:rsidR="001F662E" w:rsidRPr="001F662E" w:rsidTr="009B0BED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Przychody netto ze sprzedaży produktów + przychody netto ze sprzedaży towarów i materiałów + pozostałe przychody operacyjne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7566B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7566B6" w:rsidRDefault="00C946EC" w:rsidP="0012378A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B82A49" w:rsidRPr="007566B6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7566B6" w:rsidRPr="007566B6">
              <w:rPr>
                <w:rFonts w:ascii="Calibri" w:eastAsia="Times New Roman" w:hAnsi="Calibri" w:cs="Calibri"/>
                <w:lang w:eastAsia="pl-PL"/>
              </w:rPr>
              <w:t>3 357 072,68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AF7298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AF7298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0,0% do 3,0%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3,0% do 5,0%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5,0%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F7298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 xml:space="preserve">Wskaźnik zyskowności aktywów </w:t>
            </w:r>
            <w:r w:rsidRPr="00AF7298">
              <w:rPr>
                <w:rFonts w:ascii="Calibri" w:eastAsia="Times New Roman" w:hAnsi="Calibri" w:cs="Calibri"/>
                <w:lang w:eastAsia="pl-PL"/>
              </w:rPr>
              <w:t>(%)</w:t>
            </w:r>
            <w:r w:rsidR="008C4F37" w:rsidRPr="00AF7298">
              <w:rPr>
                <w:rFonts w:ascii="Calibri" w:eastAsia="Times New Roman" w:hAnsi="Calibri" w:cs="Calibri"/>
                <w:lang w:eastAsia="pl-PL"/>
              </w:rPr>
              <w:t xml:space="preserve"> =</w:t>
            </w:r>
            <w:r w:rsidR="00AF7298">
              <w:rPr>
                <w:rFonts w:ascii="Calibri" w:eastAsia="Times New Roman" w:hAnsi="Calibri" w:cs="Calibri"/>
                <w:lang w:eastAsia="pl-PL"/>
              </w:rPr>
              <w:t xml:space="preserve"> 0,70</w:t>
            </w:r>
            <w:r w:rsidR="008C4F37" w:rsidRPr="00AF729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AF7298">
              <w:rPr>
                <w:rFonts w:ascii="Calibri" w:eastAsia="Times New Roman" w:hAnsi="Calibri" w:cs="Calibri"/>
                <w:lang w:eastAsia="pl-PL"/>
              </w:rPr>
              <w:t xml:space="preserve">       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57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AF7298" w:rsidRDefault="0049530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F7298">
              <w:rPr>
                <w:rFonts w:ascii="Calibri" w:eastAsia="Times New Roman" w:hAnsi="Calibri" w:cs="Calibri"/>
                <w:lang w:eastAsia="pl-PL"/>
              </w:rPr>
              <w:t>Wynik netto</w:t>
            </w:r>
            <w:r w:rsidR="001A67DE" w:rsidRPr="00AF7298">
              <w:rPr>
                <w:rFonts w:ascii="Calibri" w:eastAsia="Times New Roman" w:hAnsi="Calibri" w:cs="Calibri"/>
                <w:lang w:eastAsia="pl-PL"/>
              </w:rPr>
              <w:t xml:space="preserve"> x 100 %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1F662E" w:rsidRDefault="007566B6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7566B6">
              <w:rPr>
                <w:rFonts w:ascii="Calibri" w:eastAsia="Times New Roman" w:hAnsi="Calibri" w:cs="Calibri"/>
                <w:lang w:eastAsia="pl-PL"/>
              </w:rPr>
              <w:t>26 066,63</w:t>
            </w:r>
          </w:p>
        </w:tc>
      </w:tr>
      <w:tr w:rsidR="001F662E" w:rsidRPr="001F662E" w:rsidTr="009B0BED">
        <w:trPr>
          <w:trHeight w:val="54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AF729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AF7298">
              <w:rPr>
                <w:rFonts w:ascii="Calibri" w:eastAsia="Times New Roman" w:hAnsi="Calibri" w:cs="Calibri"/>
                <w:lang w:eastAsia="pl-PL"/>
              </w:rPr>
              <w:t>Średni stan aktywów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1F662E" w:rsidRDefault="00EA7DB8" w:rsidP="00AF729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1F662E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</w:t>
            </w:r>
            <w:r w:rsidR="00C946EC" w:rsidRPr="001F662E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   </w:t>
            </w:r>
            <w:r w:rsidR="007050A0" w:rsidRPr="001F662E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</w:t>
            </w:r>
            <w:r w:rsidR="00AF7298" w:rsidRPr="00AF7298">
              <w:rPr>
                <w:rFonts w:ascii="Calibri" w:eastAsia="Times New Roman" w:hAnsi="Calibri" w:cs="Calibri"/>
                <w:lang w:eastAsia="pl-PL"/>
              </w:rPr>
              <w:t>3 484 017,95</w:t>
            </w:r>
            <w:r w:rsidR="001A67DE" w:rsidRPr="00AF7298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0,0%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0,0% do 2,0%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2,0% do 4,0%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4,0%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426334" w:rsidRDefault="00426334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>II.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PŁYNNOŚCI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20FF7" w:rsidRPr="004914D8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>Wskaźnik bieżącej płynności</w:t>
            </w:r>
            <w:r w:rsidR="00921706" w:rsidRPr="004914D8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4914D8" w:rsidRPr="004914D8">
              <w:rPr>
                <w:rFonts w:ascii="Calibri" w:eastAsia="Times New Roman" w:hAnsi="Calibri" w:cs="Calibri"/>
                <w:lang w:eastAsia="pl-PL"/>
              </w:rPr>
              <w:t xml:space="preserve">   2.27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1957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5713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95713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195713" w:rsidRDefault="00B82A49" w:rsidP="001957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95713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195713" w:rsidRPr="00195713">
              <w:rPr>
                <w:rFonts w:ascii="Calibri" w:eastAsia="Times New Roman" w:hAnsi="Calibri" w:cs="Calibri"/>
                <w:lang w:eastAsia="pl-PL"/>
              </w:rPr>
              <w:t>872 625,23</w:t>
            </w:r>
          </w:p>
        </w:tc>
      </w:tr>
      <w:tr w:rsidR="001F662E" w:rsidRPr="001F662E" w:rsidTr="009B0BED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4914D8" w:rsidRDefault="00B82A49" w:rsidP="004914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4914D8" w:rsidRPr="004914D8">
              <w:rPr>
                <w:rFonts w:ascii="Calibri" w:eastAsia="Times New Roman" w:hAnsi="Calibri" w:cs="Calibri"/>
                <w:lang w:eastAsia="pl-PL"/>
              </w:rPr>
              <w:t>384 990,68</w:t>
            </w:r>
            <w:r w:rsidR="001A67DE" w:rsidRPr="004914D8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0,60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0,60 do 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1,00 do 1,50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1,50 do 3,00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powyżej 3,00 lub jeżeli zobowiązania krótkoterminowe = 0 zł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026E22" w:rsidRDefault="00026E22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  <w:p w:rsidR="00720FF7" w:rsidRPr="001F662E" w:rsidRDefault="00720FF7" w:rsidP="00FD5988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426334" w:rsidRPr="001F662E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EF2B22" w:rsidRPr="00EF2B22" w:rsidRDefault="00EF2B22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Wskaźnik szybkiej płynności    </w:t>
            </w:r>
            <w:r w:rsidRPr="00EF2B22">
              <w:rPr>
                <w:rFonts w:ascii="Calibri" w:eastAsia="Times New Roman" w:hAnsi="Calibri" w:cs="Calibri"/>
                <w:lang w:eastAsia="pl-PL"/>
              </w:rPr>
              <w:t>=   2.26</w:t>
            </w: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126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>Aktywa obrotowe - należności krótkoterminowe z tytułu dostaw i usług, o okresie spłaty powyżej 12 miesięcy - krótkoterminowe rozliczenia międzyokresowe (czynne) - zapasy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4914D8" w:rsidRDefault="00816CB5" w:rsidP="004914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4914D8" w:rsidRPr="004914D8">
              <w:rPr>
                <w:rFonts w:ascii="Calibri" w:eastAsia="Times New Roman" w:hAnsi="Calibri" w:cs="Calibri"/>
                <w:lang w:eastAsia="pl-PL"/>
              </w:rPr>
              <w:t>867 965,32</w:t>
            </w:r>
            <w:r w:rsidR="001A67DE" w:rsidRPr="004914D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1F662E" w:rsidRPr="001F662E" w:rsidTr="009B0BED">
        <w:trPr>
          <w:trHeight w:val="102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lang w:eastAsia="pl-PL"/>
              </w:rPr>
              <w:t>Zobowiązania krótkoterminowe - zobowiązania z tytułu dostaw i usług, o okresie wymagalności powyżej 12 miesięcy + rezerwy na zobowiązania krótkoterminowe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1F662E" w:rsidRDefault="00816CB5" w:rsidP="00C34D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1F662E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              </w:t>
            </w:r>
            <w:r w:rsidR="004914D8" w:rsidRPr="004914D8">
              <w:rPr>
                <w:rFonts w:ascii="Calibri" w:eastAsia="Times New Roman" w:hAnsi="Calibri" w:cs="Calibri"/>
                <w:lang w:eastAsia="pl-PL"/>
              </w:rPr>
              <w:t>384 990,68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0,50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0,50 do 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1,00 do 2,50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powyżej 2,50 lub jeżeli zobowiązania krótkoterminowe = 0 zł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426334" w:rsidRPr="001F662E" w:rsidRDefault="00426334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>III.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914D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4914D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EFEKTYWNOŚCI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A67F5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EF2B22" w:rsidRDefault="00EF2B22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należności (w dniach) </w:t>
            </w:r>
            <w:r w:rsidRPr="00EF2B22">
              <w:rPr>
                <w:rFonts w:ascii="Calibri" w:eastAsia="Times New Roman" w:hAnsi="Calibri" w:cs="Calibri"/>
                <w:lang w:eastAsia="pl-PL"/>
              </w:rPr>
              <w:t>= 26,44</w:t>
            </w: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A67F5">
              <w:rPr>
                <w:rFonts w:ascii="Calibri" w:eastAsia="Times New Roman" w:hAnsi="Calibri" w:cs="Calibri"/>
                <w:lang w:eastAsia="pl-PL"/>
              </w:rPr>
              <w:t>Średni stan należności z tytułu dostaw i usług x liczba dni w okresie (365)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A67F5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A67F5" w:rsidRDefault="00816CB5" w:rsidP="00CA67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A67F5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CA67F5" w:rsidRPr="00CA67F5">
              <w:rPr>
                <w:rFonts w:ascii="Calibri" w:eastAsia="Times New Roman" w:hAnsi="Calibri" w:cs="Calibri"/>
                <w:lang w:eastAsia="pl-PL"/>
              </w:rPr>
              <w:t>83 994 623,08</w:t>
            </w:r>
            <w:r w:rsidR="001A67DE" w:rsidRPr="00CA67F5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1F662E" w:rsidRPr="001F662E" w:rsidTr="009B0BED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F774E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74E6">
              <w:rPr>
                <w:rFonts w:ascii="Calibri" w:eastAsia="Times New Roman" w:hAnsi="Calibri" w:cs="Calibri"/>
                <w:lang w:eastAsia="pl-PL"/>
              </w:rPr>
              <w:t>Przychody netto ze sprzedaży produktów + przychody</w:t>
            </w:r>
            <w:r w:rsidR="00BF2BDA" w:rsidRPr="00F774E6">
              <w:rPr>
                <w:rFonts w:ascii="Calibri" w:eastAsia="Times New Roman" w:hAnsi="Calibri" w:cs="Calibri"/>
                <w:lang w:eastAsia="pl-PL"/>
              </w:rPr>
              <w:t xml:space="preserve"> netto </w:t>
            </w:r>
            <w:r w:rsidRPr="00F774E6">
              <w:rPr>
                <w:rFonts w:ascii="Calibri" w:eastAsia="Times New Roman" w:hAnsi="Calibri" w:cs="Calibri"/>
                <w:lang w:eastAsia="pl-PL"/>
              </w:rPr>
              <w:t xml:space="preserve"> ze sprzedaży towarów i materiałów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F774E6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F774E6" w:rsidRDefault="00C946EC" w:rsidP="00F774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774E6">
              <w:rPr>
                <w:rFonts w:ascii="Calibri" w:eastAsia="Times New Roman" w:hAnsi="Calibri" w:cs="Calibri"/>
                <w:lang w:eastAsia="pl-PL"/>
              </w:rPr>
              <w:t xml:space="preserve">        </w:t>
            </w:r>
            <w:r w:rsidR="00F774E6" w:rsidRPr="00F774E6">
              <w:rPr>
                <w:rFonts w:ascii="Calibri" w:eastAsia="Times New Roman" w:hAnsi="Calibri" w:cs="Calibri"/>
                <w:lang w:eastAsia="pl-PL"/>
              </w:rPr>
              <w:t>3 177 208,12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45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45 dni do 60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Pr="00EF2B22" w:rsidRDefault="00EF2B22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Wskaźnik rotacji zobowiązań (w dniach)   </w:t>
            </w:r>
            <w:r w:rsidRPr="00EF2B22">
              <w:rPr>
                <w:rFonts w:ascii="Calibri" w:eastAsia="Times New Roman" w:hAnsi="Calibri" w:cs="Calibri"/>
                <w:lang w:eastAsia="pl-PL"/>
              </w:rPr>
              <w:t>=  6,12</w:t>
            </w: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lang w:eastAsia="pl-PL"/>
              </w:rPr>
              <w:t>Średni stan zobowiązań z tytułu dostaw i usług x liczba dni w okresie (365)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B7BE8" w:rsidRDefault="00B4696A" w:rsidP="00CB7B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2635DD" w:rsidRPr="00CB7BE8">
              <w:rPr>
                <w:rFonts w:ascii="Calibri" w:eastAsia="Times New Roman" w:hAnsi="Calibri" w:cs="Calibri"/>
                <w:lang w:eastAsia="pl-PL"/>
              </w:rPr>
              <w:t>19</w:t>
            </w:r>
            <w:r w:rsidR="00CB7BE8" w:rsidRPr="00CB7BE8">
              <w:rPr>
                <w:rFonts w:ascii="Calibri" w:eastAsia="Times New Roman" w:hAnsi="Calibri" w:cs="Calibri"/>
                <w:lang w:eastAsia="pl-PL"/>
              </w:rPr>
              <w:t> 450 901,10</w:t>
            </w:r>
            <w:r w:rsidR="001A67DE" w:rsidRPr="00CB7BE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</w:tc>
      </w:tr>
      <w:tr w:rsidR="001F662E" w:rsidRPr="001F662E" w:rsidTr="009B0BED">
        <w:trPr>
          <w:trHeight w:val="73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lang w:eastAsia="pl-PL"/>
              </w:rPr>
              <w:t xml:space="preserve">Przychody netto ze sprzedaży produktów + przychody </w:t>
            </w:r>
            <w:r w:rsidR="00AD2C57" w:rsidRPr="00CB7BE8">
              <w:rPr>
                <w:rFonts w:ascii="Calibri" w:eastAsia="Times New Roman" w:hAnsi="Calibri" w:cs="Calibri"/>
                <w:lang w:eastAsia="pl-PL"/>
              </w:rPr>
              <w:t xml:space="preserve">netto </w:t>
            </w:r>
            <w:r w:rsidRPr="00CB7BE8">
              <w:rPr>
                <w:rFonts w:ascii="Calibri" w:eastAsia="Times New Roman" w:hAnsi="Calibri" w:cs="Calibri"/>
                <w:lang w:eastAsia="pl-PL"/>
              </w:rPr>
              <w:t>ze sprzedaży towarów i materiałów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CB7BE8" w:rsidRDefault="00CB7BE8" w:rsidP="00CB7B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2635DD" w:rsidRPr="00CB7BE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Pr="00CB7BE8">
              <w:rPr>
                <w:rFonts w:ascii="Calibri" w:eastAsia="Times New Roman" w:hAnsi="Calibri" w:cs="Calibri"/>
                <w:lang w:eastAsia="pl-PL"/>
              </w:rPr>
              <w:t>3 177 208,12</w:t>
            </w:r>
            <w:r w:rsidR="002635DD" w:rsidRPr="00CB7BE8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Pr="00CB7BE8">
              <w:rPr>
                <w:rFonts w:ascii="Calibri" w:eastAsia="Times New Roman" w:hAnsi="Calibri" w:cs="Calibri"/>
                <w:lang w:eastAsia="pl-PL"/>
              </w:rPr>
              <w:t xml:space="preserve">            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 60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61 dni do 90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720FF7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90 dni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F7" w:rsidRDefault="00720FF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b/>
                <w:bCs/>
                <w:lang w:eastAsia="pl-PL"/>
              </w:rPr>
              <w:t>IV.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B7BE8">
              <w:rPr>
                <w:rFonts w:ascii="Calibri" w:eastAsia="Times New Roman" w:hAnsi="Calibri" w:cs="Calibri"/>
                <w:b/>
                <w:bCs/>
                <w:lang w:eastAsia="pl-PL"/>
              </w:rPr>
              <w:t>WSKAŹNIK</w:t>
            </w:r>
            <w:r w:rsidR="00CB7BE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  <w:r w:rsidRPr="00CB7BE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ZADŁUŻENIA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CB7BE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66F8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D7895" w:rsidRDefault="000D7895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  <w:p w:rsidR="00EF2B22" w:rsidRPr="00EF2B22" w:rsidRDefault="00EF2B22" w:rsidP="00EF2B22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Wskaźnik zadłużenia aktywów (%)   </w:t>
            </w:r>
            <w:r w:rsidRPr="00EF2B22">
              <w:rPr>
                <w:rFonts w:ascii="Calibri" w:eastAsia="Times New Roman" w:hAnsi="Calibri" w:cs="Calibri"/>
                <w:lang w:eastAsia="pl-PL"/>
              </w:rPr>
              <w:t>=  10,82</w:t>
            </w:r>
            <w:r w:rsidRPr="00EF2B22">
              <w:rPr>
                <w:rFonts w:ascii="Calibri" w:eastAsia="Times New Roman" w:hAnsi="Calibri" w:cs="Calibri"/>
                <w:b/>
                <w:lang w:eastAsia="pl-PL"/>
              </w:rPr>
              <w:t xml:space="preserve">                     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F2B22" w:rsidRPr="004266F8" w:rsidRDefault="00EF2B22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662E" w:rsidRPr="001F662E" w:rsidTr="009B0BED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66F8">
              <w:rPr>
                <w:rFonts w:ascii="Calibri" w:eastAsia="Times New Roman" w:hAnsi="Calibri" w:cs="Calibri"/>
                <w:lang w:eastAsia="pl-PL"/>
              </w:rPr>
              <w:t>(Zobowiązani</w:t>
            </w:r>
            <w:r w:rsidR="004266F8" w:rsidRPr="004266F8">
              <w:rPr>
                <w:rFonts w:ascii="Calibri" w:eastAsia="Times New Roman" w:hAnsi="Calibri" w:cs="Calibri"/>
                <w:lang w:eastAsia="pl-PL"/>
              </w:rPr>
              <w:t>a</w:t>
            </w:r>
            <w:r w:rsidRPr="004266F8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zobowiązania) X 100 %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4266F8" w:rsidRDefault="00AD2C5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66F8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46446E" w:rsidRPr="004266F8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4266F8" w:rsidRPr="004266F8">
              <w:rPr>
                <w:rFonts w:ascii="Calibri" w:eastAsia="Times New Roman" w:hAnsi="Calibri" w:cs="Calibri"/>
                <w:lang w:eastAsia="pl-PL"/>
              </w:rPr>
              <w:t xml:space="preserve">38 499 068   </w:t>
            </w:r>
          </w:p>
        </w:tc>
      </w:tr>
      <w:tr w:rsidR="001F662E" w:rsidRPr="001F662E" w:rsidTr="009B0BED">
        <w:trPr>
          <w:trHeight w:val="615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66F8">
              <w:rPr>
                <w:rFonts w:ascii="Calibri" w:eastAsia="Times New Roman" w:hAnsi="Calibri" w:cs="Calibri"/>
                <w:lang w:eastAsia="pl-PL"/>
              </w:rPr>
              <w:t>Aktywa razem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4266F8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4266F8" w:rsidRDefault="00B34997" w:rsidP="004266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266F8">
              <w:rPr>
                <w:rFonts w:ascii="Calibri" w:eastAsia="Times New Roman" w:hAnsi="Calibri" w:cs="Calibri"/>
                <w:lang w:eastAsia="pl-PL"/>
              </w:rPr>
              <w:t xml:space="preserve">           </w:t>
            </w:r>
            <w:r w:rsidR="0046446E" w:rsidRPr="004266F8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266F8" w:rsidRPr="004266F8">
              <w:rPr>
                <w:rFonts w:ascii="Calibri" w:eastAsia="Times New Roman" w:hAnsi="Calibri" w:cs="Calibri"/>
                <w:lang w:eastAsia="pl-PL"/>
              </w:rPr>
              <w:t>3 559 004,73</w:t>
            </w:r>
            <w:r w:rsidR="001A67DE" w:rsidRPr="004266F8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</w:p>
        </w:tc>
      </w:tr>
      <w:tr w:rsidR="00720FF7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720FF7" w:rsidRPr="001F662E" w:rsidRDefault="00720FF7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poniżej 40%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40% do 60%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60% do 80%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powyżej 80%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626E43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9F5FBE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720FF7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626E43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9F5FBE" w:rsidRDefault="00626E43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0D7895" w:rsidRDefault="000D7895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EF2B22" w:rsidRDefault="00EF2B22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EF2B22" w:rsidRDefault="00EF2B22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626E43" w:rsidRPr="00720FF7" w:rsidRDefault="00626E43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626E43" w:rsidRPr="001F662E" w:rsidRDefault="00626E43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F5FB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F5FBE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F5FBE" w:rsidRDefault="001A67DE" w:rsidP="009F5FBE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720FF7">
              <w:rPr>
                <w:rFonts w:ascii="Calibri" w:eastAsia="Times New Roman" w:hAnsi="Calibri" w:cs="Calibri"/>
                <w:b/>
                <w:lang w:eastAsia="pl-PL"/>
              </w:rPr>
              <w:t>Wskaźnik wypłacalności</w:t>
            </w:r>
            <w:r w:rsidR="002635DD" w:rsidRPr="009F5FBE">
              <w:rPr>
                <w:rFonts w:ascii="Calibri" w:eastAsia="Times New Roman" w:hAnsi="Calibri" w:cs="Calibri"/>
                <w:lang w:eastAsia="pl-PL"/>
              </w:rPr>
              <w:t xml:space="preserve">  = </w:t>
            </w:r>
            <w:r w:rsidR="009F5FBE"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F5FBE">
              <w:rPr>
                <w:rFonts w:ascii="Calibri" w:eastAsia="Times New Roman" w:hAnsi="Calibri" w:cs="Calibri"/>
                <w:lang w:eastAsia="pl-PL"/>
              </w:rPr>
              <w:t>0,40</w:t>
            </w:r>
            <w:r w:rsidR="009F5FBE" w:rsidRPr="009F5FBE">
              <w:rPr>
                <w:rFonts w:ascii="Calibri" w:eastAsia="Times New Roman" w:hAnsi="Calibri" w:cs="Calibri"/>
                <w:lang w:eastAsia="pl-PL"/>
              </w:rPr>
              <w:t xml:space="preserve">                             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300"/>
        </w:trPr>
        <w:tc>
          <w:tcPr>
            <w:tcW w:w="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Default="000D7895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  <w:p w:rsidR="000D7895" w:rsidRPr="001F662E" w:rsidRDefault="000D7895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662E" w:rsidRPr="001F662E" w:rsidTr="009B0BED">
        <w:trPr>
          <w:trHeight w:val="765"/>
        </w:trPr>
        <w:tc>
          <w:tcPr>
            <w:tcW w:w="7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F5FB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F5FBE">
              <w:rPr>
                <w:rFonts w:ascii="Calibri" w:eastAsia="Times New Roman" w:hAnsi="Calibri" w:cs="Calibri"/>
                <w:lang w:eastAsia="pl-PL"/>
              </w:rPr>
              <w:t>Zobowiązani</w:t>
            </w:r>
            <w:r w:rsidR="00BD4EE7" w:rsidRPr="009F5FBE">
              <w:rPr>
                <w:rFonts w:ascii="Calibri" w:eastAsia="Times New Roman" w:hAnsi="Calibri" w:cs="Calibri"/>
                <w:lang w:eastAsia="pl-PL"/>
              </w:rPr>
              <w:t>a</w:t>
            </w:r>
            <w:r w:rsidRPr="009F5FBE">
              <w:rPr>
                <w:rFonts w:ascii="Calibri" w:eastAsia="Times New Roman" w:hAnsi="Calibri" w:cs="Calibri"/>
                <w:lang w:eastAsia="pl-PL"/>
              </w:rPr>
              <w:t xml:space="preserve"> długoterminowe + zobowiązania krótkoterminowe + rezerwy na zobowiązania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F5FB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F5FBE" w:rsidRDefault="0046446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F5FBE">
              <w:rPr>
                <w:rFonts w:ascii="Calibri" w:eastAsia="Times New Roman" w:hAnsi="Calibri" w:cs="Calibri"/>
                <w:lang w:eastAsia="pl-PL"/>
              </w:rPr>
              <w:t xml:space="preserve">               </w:t>
            </w:r>
            <w:r w:rsidR="009F5FBE" w:rsidRPr="009F5FBE">
              <w:rPr>
                <w:rFonts w:ascii="Calibri" w:eastAsia="Times New Roman" w:hAnsi="Calibri" w:cs="Calibri"/>
                <w:lang w:eastAsia="pl-PL"/>
              </w:rPr>
              <w:t xml:space="preserve">384 990,68   </w:t>
            </w:r>
          </w:p>
        </w:tc>
      </w:tr>
      <w:tr w:rsidR="001F662E" w:rsidRPr="001F662E" w:rsidTr="009B0BED">
        <w:trPr>
          <w:trHeight w:val="600"/>
        </w:trPr>
        <w:tc>
          <w:tcPr>
            <w:tcW w:w="729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1F662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6789" w:type="dxa"/>
            <w:gridSpan w:val="11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A67DE" w:rsidRPr="009F5FB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F5FBE">
              <w:rPr>
                <w:rFonts w:ascii="Calibri" w:eastAsia="Times New Roman" w:hAnsi="Calibri" w:cs="Calibri"/>
                <w:lang w:eastAsia="pl-PL"/>
              </w:rPr>
              <w:t>Fundusz własny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1A67DE" w:rsidRPr="009F5FBE" w:rsidRDefault="001A67DE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A67DE" w:rsidRPr="009F5FBE" w:rsidRDefault="00AF583F" w:rsidP="00627D0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9F5FBE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D70BD6"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946EC"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6446E"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F5FBE" w:rsidRPr="009F5FBE">
              <w:rPr>
                <w:rFonts w:ascii="Calibri" w:eastAsia="Times New Roman" w:hAnsi="Calibri" w:cs="Calibri"/>
                <w:lang w:eastAsia="pl-PL"/>
              </w:rPr>
              <w:t>964 005,95</w:t>
            </w:r>
            <w:r w:rsidR="001A67DE" w:rsidRPr="009F5FB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  <w:tr w:rsidR="00626E43" w:rsidRPr="001F662E" w:rsidTr="009B0BED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9"/>
            <w:tcBorders>
              <w:top w:val="nil"/>
            </w:tcBorders>
          </w:tcPr>
          <w:p w:rsidR="00626E43" w:rsidRPr="001F662E" w:rsidRDefault="00626E43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PRZEDZIAŁY WARTOŚCI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OCENA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0,00 do 0,50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0,51 do 1,00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1,01 do 2,00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od 2,01 do 4,00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626E43" w:rsidTr="009B0BED">
        <w:tblPrEx>
          <w:shd w:val="clear" w:color="auto" w:fill="auto"/>
        </w:tblPrEx>
        <w:trPr>
          <w:gridBefore w:val="1"/>
          <w:gridAfter w:val="7"/>
          <w:wBefore w:w="65" w:type="dxa"/>
          <w:wAfter w:w="5277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E43" w:rsidRDefault="00626E4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powyżej 4,00 lub poniżej 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E43" w:rsidRDefault="00626E4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1F662E" w:rsidRPr="001F662E" w:rsidTr="009B0BED">
        <w:tblPrEx>
          <w:tblBorders>
            <w:top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82" w:type="dxa"/>
            <w:gridSpan w:val="19"/>
            <w:tcBorders>
              <w:top w:val="nil"/>
            </w:tcBorders>
          </w:tcPr>
          <w:p w:rsidR="00EE626C" w:rsidRDefault="00EE626C" w:rsidP="00EE626C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</w:p>
          <w:p w:rsidR="009B0BED" w:rsidRPr="009B0BED" w:rsidRDefault="009B0BED" w:rsidP="00EE626C">
            <w:pPr>
              <w:spacing w:before="120" w:after="120" w:line="240" w:lineRule="auto"/>
              <w:rPr>
                <w:rFonts w:ascii="Calibri" w:eastAsia="Times New Roman" w:hAnsi="Calibri" w:cs="Calibri"/>
                <w:bCs/>
                <w:color w:val="FF0000"/>
                <w:lang w:eastAsia="pl-PL"/>
              </w:rPr>
            </w:pPr>
            <w:r w:rsidRPr="009B0BED">
              <w:rPr>
                <w:rFonts w:ascii="Calibri" w:eastAsia="Times New Roman" w:hAnsi="Calibri" w:cs="Calibri"/>
                <w:bCs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Cs/>
                <w:lang w:eastAsia="pl-PL"/>
              </w:rPr>
              <w:t>odsumowanie obliczeń przedstawia poniższa tabela.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495"/>
        </w:trPr>
        <w:tc>
          <w:tcPr>
            <w:tcW w:w="9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50E5" w:rsidRPr="003D50E5" w:rsidRDefault="00E34421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662E">
              <w:rPr>
                <w:color w:val="FF0000"/>
              </w:rPr>
              <w:t xml:space="preserve"> </w:t>
            </w:r>
            <w:r w:rsidR="003D50E5" w:rsidRPr="003D50E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Tabela podsumowująca wyniki oceny sytuacji  </w:t>
            </w:r>
            <w:proofErr w:type="spellStart"/>
            <w:r w:rsidR="003D50E5" w:rsidRPr="003D50E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ekonomiczno</w:t>
            </w:r>
            <w:proofErr w:type="spellEnd"/>
            <w:r w:rsidR="003D50E5" w:rsidRPr="003D50E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– finansowej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600"/>
        </w:trPr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Grupa 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lang w:eastAsia="pl-PL"/>
              </w:rPr>
              <w:t>Wskaźniki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lang w:eastAsia="pl-PL"/>
              </w:rPr>
              <w:t>Wartość wskaźnika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 Wskaźniki zyskowności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zyskowności netto (%)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0,78%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zyskowności działalności operacyjnej (%)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0,79%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3) wskaźnik zyskowności aktywów (%)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0,70%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468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1. Razem: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270"/>
        </w:trPr>
        <w:tc>
          <w:tcPr>
            <w:tcW w:w="468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 Wskaźnik płynności</w:t>
            </w:r>
          </w:p>
        </w:tc>
        <w:tc>
          <w:tcPr>
            <w:tcW w:w="347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bieżącej płynności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szybkiej płynności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435"/>
        </w:trPr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2. Razem: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24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 Wskaźnik efektywności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rotacji należności (w dniach)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rotacji zobowiązań (w dniach)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3. Razem: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27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4. Wskaźnik zadłużenia</w:t>
            </w: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1) wskaźnik  zadłużenia aktywów (%)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10,82%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1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34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2) wskaźnik wypłacalności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4. Razem: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270"/>
        </w:trPr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3D50E5" w:rsidRPr="003D50E5" w:rsidTr="009B0BED">
        <w:tblPrEx>
          <w:shd w:val="clear" w:color="auto" w:fill="auto"/>
        </w:tblPrEx>
        <w:trPr>
          <w:gridBefore w:val="1"/>
          <w:gridAfter w:val="1"/>
          <w:wBefore w:w="65" w:type="dxa"/>
          <w:wAfter w:w="598" w:type="dxa"/>
          <w:trHeight w:val="390"/>
        </w:trPr>
        <w:tc>
          <w:tcPr>
            <w:tcW w:w="7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 Łączna wartość punktów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0E5" w:rsidRPr="003D50E5" w:rsidRDefault="003D50E5" w:rsidP="003D5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3D50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</w:tbl>
    <w:p w:rsidR="00EF2B22" w:rsidRDefault="00351AFE" w:rsidP="00EF2B22">
      <w:pPr>
        <w:shd w:val="clear" w:color="auto" w:fill="FFFFFF" w:themeFill="background1"/>
        <w:spacing w:after="0" w:line="276" w:lineRule="auto"/>
        <w:jc w:val="both"/>
      </w:pPr>
      <w:r>
        <w:lastRenderedPageBreak/>
        <w:tab/>
      </w:r>
      <w:r w:rsidR="00741018" w:rsidRPr="00EF2B22">
        <w:t>Analiza wskaźnikowa sytuacji ekonomiczno-finansowej SP ZPOZ Centrum Leczenia Uza</w:t>
      </w:r>
      <w:r w:rsidR="006119B9" w:rsidRPr="00EF2B22">
        <w:t xml:space="preserve">leżnień </w:t>
      </w:r>
      <w:r w:rsidR="00EF2B22">
        <w:t xml:space="preserve">                     </w:t>
      </w:r>
      <w:r w:rsidR="006119B9" w:rsidRPr="00EF2B22">
        <w:t>w Rzeszowie pokazuje, że</w:t>
      </w:r>
      <w:r w:rsidR="00741018" w:rsidRPr="00EF2B22">
        <w:t xml:space="preserve"> </w:t>
      </w:r>
      <w:r w:rsidR="006119B9" w:rsidRPr="00EF2B22">
        <w:t>placówka</w:t>
      </w:r>
      <w:r w:rsidR="00741018" w:rsidRPr="00EF2B22">
        <w:t xml:space="preserve"> jest w dobrej kondycji finansowej. </w:t>
      </w:r>
    </w:p>
    <w:p w:rsidR="00EF2B22" w:rsidRDefault="00EF2B22" w:rsidP="00EF2B22">
      <w:pPr>
        <w:shd w:val="clear" w:color="auto" w:fill="FFFFFF" w:themeFill="background1"/>
        <w:spacing w:after="0" w:line="276" w:lineRule="auto"/>
        <w:jc w:val="both"/>
      </w:pPr>
    </w:p>
    <w:p w:rsidR="00BF1D92" w:rsidRDefault="00351AFE" w:rsidP="00EF2B22">
      <w:pPr>
        <w:shd w:val="clear" w:color="auto" w:fill="FFFFFF" w:themeFill="background1"/>
        <w:spacing w:after="0" w:line="276" w:lineRule="auto"/>
        <w:jc w:val="both"/>
      </w:pPr>
      <w:r>
        <w:tab/>
      </w:r>
      <w:r w:rsidR="00BF1D92" w:rsidRPr="00EF2B22">
        <w:t xml:space="preserve"> Jednostka osiągnęła dodatni wynik finansowy, przy czym nie jest nastawiona na maksymalizację zysku - z uzyskiwanych przychodów pokrywa bieżące koszty działalności. Ewentualne nadwyżki finansowe wykorzystywane są na bieżąco do wykonywania drobnych remontów i zakupu koniecznych składników wyposażenia. Potrzeby placówki w tym zakresie są duże. Jak pokazują wskaźniki zyskowności, placówka racjonalnie gospodaruje posiadanymi zasobami.</w:t>
      </w:r>
    </w:p>
    <w:p w:rsidR="00EF2B22" w:rsidRPr="00EF2B22" w:rsidRDefault="00EF2B22" w:rsidP="00EF2B22">
      <w:pPr>
        <w:shd w:val="clear" w:color="auto" w:fill="FFFFFF" w:themeFill="background1"/>
        <w:spacing w:after="0" w:line="276" w:lineRule="auto"/>
        <w:jc w:val="both"/>
      </w:pPr>
    </w:p>
    <w:p w:rsidR="008A1C95" w:rsidRDefault="00351AFE" w:rsidP="00EF2B22">
      <w:pPr>
        <w:shd w:val="clear" w:color="auto" w:fill="FFFFFF" w:themeFill="background1"/>
        <w:spacing w:after="0" w:line="276" w:lineRule="auto"/>
        <w:jc w:val="both"/>
      </w:pPr>
      <w:r>
        <w:tab/>
      </w:r>
      <w:r w:rsidR="00BF1D92" w:rsidRPr="00EF2B22">
        <w:t xml:space="preserve"> SP ZOZ CLU posiada</w:t>
      </w:r>
      <w:r w:rsidR="00741018" w:rsidRPr="00EF2B22">
        <w:t xml:space="preserve"> zdolność do terminowego regulowania zaciągniętyc</w:t>
      </w:r>
      <w:r w:rsidR="008A1C95" w:rsidRPr="00EF2B22">
        <w:t xml:space="preserve">h zobowiązań krótkoterminowych. </w:t>
      </w:r>
      <w:r w:rsidR="00A070A4" w:rsidRPr="00EF2B22">
        <w:t xml:space="preserve">Aktywa bieżące ponad dwukrotnie przekraczają bieżące zobowiązania, placówka w pełni samodzielnie finansuje bieżącą działalność. </w:t>
      </w:r>
      <w:r w:rsidR="008A1C95" w:rsidRPr="00EF2B22">
        <w:t>Wskaźniki płynności utrzymują się na bezpiecznym poziomie osiągając maksymalne wartości oceny punktowej.</w:t>
      </w:r>
      <w:r w:rsidR="0034796A" w:rsidRPr="00EF2B22">
        <w:t xml:space="preserve"> </w:t>
      </w:r>
    </w:p>
    <w:p w:rsidR="00EF2B22" w:rsidRPr="00EF2B22" w:rsidRDefault="00EF2B22" w:rsidP="00EF2B22">
      <w:pPr>
        <w:shd w:val="clear" w:color="auto" w:fill="FFFFFF" w:themeFill="background1"/>
        <w:spacing w:after="0" w:line="276" w:lineRule="auto"/>
        <w:jc w:val="both"/>
        <w:rPr>
          <w:color w:val="FF0000"/>
        </w:rPr>
      </w:pPr>
    </w:p>
    <w:p w:rsidR="00741018" w:rsidRDefault="00351AFE" w:rsidP="00EF2B22">
      <w:pPr>
        <w:shd w:val="clear" w:color="auto" w:fill="FFFFFF" w:themeFill="background1"/>
        <w:spacing w:after="0" w:line="276" w:lineRule="auto"/>
        <w:jc w:val="both"/>
      </w:pPr>
      <w:r>
        <w:tab/>
      </w:r>
      <w:r w:rsidR="006F4D16" w:rsidRPr="00EF2B22">
        <w:t>Jak pokazują wskaźniki efektywności SP ZOZ CLU nie ma trudności z uzyskaniem należności za świadczone usługi. Średni czas oczekiwania wynosi 26 dni. Z kolei c</w:t>
      </w:r>
      <w:r w:rsidR="00741018" w:rsidRPr="00EF2B22">
        <w:t xml:space="preserve">zas potrzebny </w:t>
      </w:r>
      <w:r w:rsidR="006F4D16" w:rsidRPr="00EF2B22">
        <w:t>do spłacania</w:t>
      </w:r>
      <w:r w:rsidR="00741018" w:rsidRPr="00EF2B22">
        <w:t xml:space="preserve"> zobowiązań krótkoterminowych wynosi </w:t>
      </w:r>
      <w:r w:rsidR="006F4D16" w:rsidRPr="00EF2B22">
        <w:t xml:space="preserve">jedynie </w:t>
      </w:r>
      <w:r w:rsidR="008A1C95" w:rsidRPr="00EF2B22">
        <w:t>6</w:t>
      </w:r>
      <w:r w:rsidR="00741018" w:rsidRPr="00EF2B22">
        <w:t xml:space="preserve"> dni.</w:t>
      </w:r>
      <w:r w:rsidR="006F4D16" w:rsidRPr="00EF2B22">
        <w:t xml:space="preserve"> Placówka regularnie spłaca swoje zobowiązania. </w:t>
      </w:r>
      <w:r w:rsidR="004C717A" w:rsidRPr="00EF2B22">
        <w:t>Na koniec roku 2022 nie</w:t>
      </w:r>
      <w:r w:rsidR="008D3F36" w:rsidRPr="00EF2B22">
        <w:t xml:space="preserve"> wyst</w:t>
      </w:r>
      <w:r w:rsidR="006119B9" w:rsidRPr="00EF2B22">
        <w:t>ąpiły</w:t>
      </w:r>
      <w:r w:rsidR="008D3F36" w:rsidRPr="00EF2B22">
        <w:t xml:space="preserve"> zobowiązania wymagalne.</w:t>
      </w:r>
    </w:p>
    <w:p w:rsidR="00EF2B22" w:rsidRPr="00EF2B22" w:rsidRDefault="00EF2B22" w:rsidP="00EF2B22">
      <w:pPr>
        <w:shd w:val="clear" w:color="auto" w:fill="FFFFFF" w:themeFill="background1"/>
        <w:spacing w:after="0" w:line="276" w:lineRule="auto"/>
        <w:jc w:val="both"/>
      </w:pPr>
    </w:p>
    <w:p w:rsidR="008D3F36" w:rsidRPr="00EF2B22" w:rsidRDefault="00351AFE" w:rsidP="00EF2B22">
      <w:pPr>
        <w:shd w:val="clear" w:color="auto" w:fill="FFFFFF" w:themeFill="background1"/>
        <w:spacing w:after="0" w:line="276" w:lineRule="auto"/>
        <w:jc w:val="both"/>
      </w:pPr>
      <w:r>
        <w:tab/>
      </w:r>
      <w:r w:rsidR="008D3F36" w:rsidRPr="00EF2B22">
        <w:t>Aktywa jednostki finansowane są w blisko 11 procentach kapitałami obcymi. Nastąpił tu wzrost w stosunku do poprzedniego roku o ponad 3% ze względu na wzrost zobowiązań krótkoterminowych i utworzenie rezerwy. Poziom wskaźników zadłużenia wciąż utrzymuje się na bezpieczny</w:t>
      </w:r>
      <w:r w:rsidR="0034796A" w:rsidRPr="00EF2B22">
        <w:t>m poziomie osiągając 10 punktowe oceny.</w:t>
      </w:r>
      <w:r w:rsidR="008D3F36" w:rsidRPr="00EF2B22">
        <w:t xml:space="preserve"> </w:t>
      </w:r>
    </w:p>
    <w:p w:rsidR="00E727DD" w:rsidRPr="006F4D16" w:rsidRDefault="00E727DD" w:rsidP="00BF1D92">
      <w:pPr>
        <w:shd w:val="clear" w:color="auto" w:fill="FFFFFF" w:themeFill="background1"/>
        <w:spacing w:after="0" w:line="276" w:lineRule="auto"/>
        <w:ind w:firstLine="708"/>
        <w:jc w:val="both"/>
        <w:rPr>
          <w:sz w:val="24"/>
          <w:szCs w:val="24"/>
        </w:rPr>
      </w:pPr>
    </w:p>
    <w:p w:rsidR="00A43F06" w:rsidRDefault="00CE3F1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E35747">
        <w:rPr>
          <w:rFonts w:cstheme="minorHAnsi"/>
          <w:b/>
        </w:rPr>
        <w:t>V. P</w:t>
      </w:r>
      <w:r w:rsidR="006D1774" w:rsidRPr="00E35747">
        <w:rPr>
          <w:rFonts w:cstheme="minorHAnsi"/>
          <w:b/>
        </w:rPr>
        <w:t xml:space="preserve">ROGNOZA SYTUACJI </w:t>
      </w:r>
      <w:r w:rsidR="00CB1899" w:rsidRPr="00E35747">
        <w:rPr>
          <w:rFonts w:cstheme="minorHAnsi"/>
          <w:b/>
        </w:rPr>
        <w:t xml:space="preserve"> </w:t>
      </w:r>
      <w:r w:rsidR="006D1774" w:rsidRPr="00E35747">
        <w:rPr>
          <w:rFonts w:cstheme="minorHAnsi"/>
          <w:b/>
        </w:rPr>
        <w:t xml:space="preserve">EKONOMICZNO – FINANSOWEJ </w:t>
      </w:r>
      <w:r w:rsidR="00E35747">
        <w:rPr>
          <w:rFonts w:cstheme="minorHAnsi"/>
          <w:b/>
        </w:rPr>
        <w:t>NA LATA 2023-2025</w:t>
      </w:r>
    </w:p>
    <w:p w:rsidR="00EA0C4F" w:rsidRDefault="00EA0C4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</w:p>
    <w:p w:rsidR="00EA0C4F" w:rsidRDefault="00EA0C4F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 w:rsidRPr="00E35747">
        <w:rPr>
          <w:rFonts w:cstheme="minorHAnsi"/>
          <w:b/>
        </w:rPr>
        <w:t>PRZYJĘTE ZAŁOŻENIA</w:t>
      </w:r>
      <w:r>
        <w:rPr>
          <w:rFonts w:cstheme="minorHAnsi"/>
          <w:b/>
        </w:rPr>
        <w:t xml:space="preserve"> MAKROEKONOMICZNE</w:t>
      </w:r>
    </w:p>
    <w:p w:rsidR="00A36030" w:rsidRDefault="00351AFE" w:rsidP="00EA0C4F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EA0C4F" w:rsidRPr="00EA0C4F">
        <w:rPr>
          <w:rFonts w:cstheme="minorHAnsi"/>
        </w:rPr>
        <w:t xml:space="preserve">Z Wieloletniego Planu </w:t>
      </w:r>
      <w:r w:rsidR="00EA0C4F">
        <w:rPr>
          <w:rFonts w:cstheme="minorHAnsi"/>
        </w:rPr>
        <w:t>Finansowego Państwa na lata 2023 - 2026</w:t>
      </w:r>
      <w:r w:rsidR="00A36030">
        <w:rPr>
          <w:rFonts w:cstheme="minorHAnsi"/>
        </w:rPr>
        <w:t xml:space="preserve"> wynika, że </w:t>
      </w:r>
      <w:r w:rsidR="00EA0C4F" w:rsidRPr="00EA0C4F">
        <w:rPr>
          <w:rFonts w:cstheme="minorHAnsi"/>
        </w:rPr>
        <w:t>opracowywane są zmiany systemowe zorientowane na stopniowy wzrost nakładów na</w:t>
      </w:r>
      <w:r w:rsidR="00A36030">
        <w:rPr>
          <w:rFonts w:cstheme="minorHAnsi"/>
        </w:rPr>
        <w:t xml:space="preserve"> </w:t>
      </w:r>
      <w:r w:rsidR="00EA0C4F" w:rsidRPr="00EA0C4F">
        <w:rPr>
          <w:rFonts w:cstheme="minorHAnsi"/>
        </w:rPr>
        <w:t>ochronę zdrowia w re</w:t>
      </w:r>
      <w:r w:rsidR="00A36030">
        <w:rPr>
          <w:rFonts w:cstheme="minorHAnsi"/>
        </w:rPr>
        <w:t xml:space="preserve">lacji do PKB </w:t>
      </w:r>
      <w:r w:rsidR="00D96246">
        <w:rPr>
          <w:rFonts w:cstheme="minorHAnsi"/>
        </w:rPr>
        <w:t xml:space="preserve">                     </w:t>
      </w:r>
      <w:r w:rsidR="00A36030">
        <w:rPr>
          <w:rFonts w:cstheme="minorHAnsi"/>
        </w:rPr>
        <w:t xml:space="preserve">w kolejnych latach. </w:t>
      </w:r>
      <w:r w:rsidR="00A36030" w:rsidRPr="00A36030">
        <w:rPr>
          <w:rFonts w:cstheme="minorHAnsi"/>
        </w:rPr>
        <w:t>Ustawa z dnia 11 sierpnia 2021 r. o zmianie ustawy o świadczeniach opieki zdrowotnej finansowanych ze środków publicznych oraz niektórych innych ust</w:t>
      </w:r>
      <w:r w:rsidR="00F251CA">
        <w:rPr>
          <w:rFonts w:cstheme="minorHAnsi"/>
        </w:rPr>
        <w:t>aw</w:t>
      </w:r>
      <w:r w:rsidR="00A36030" w:rsidRPr="00A36030">
        <w:rPr>
          <w:rFonts w:cstheme="minorHAnsi"/>
        </w:rPr>
        <w:t xml:space="preserve"> zakłada stopniowe zwiększanie nakładów na ochronę zdrowia do 2027 roku aż</w:t>
      </w:r>
      <w:r w:rsidR="001B11A0">
        <w:rPr>
          <w:rFonts w:cstheme="minorHAnsi"/>
        </w:rPr>
        <w:t xml:space="preserve"> do osiągnięcia poziomu 7% PKB, przy czym prognoza wzrostu gospodarczego </w:t>
      </w:r>
      <w:r w:rsidR="00F251CA">
        <w:rPr>
          <w:rFonts w:cstheme="minorHAnsi"/>
        </w:rPr>
        <w:t>przewiduje</w:t>
      </w:r>
      <w:r w:rsidR="001B11A0">
        <w:rPr>
          <w:rFonts w:cstheme="minorHAnsi"/>
        </w:rPr>
        <w:t xml:space="preserve"> spowolnienie wzrostu PKB w kolejnych latach. </w:t>
      </w:r>
      <w:r w:rsidR="00F251CA">
        <w:rPr>
          <w:rFonts w:cstheme="minorHAnsi"/>
        </w:rPr>
        <w:t>Wieloletni Plan Finansowy P</w:t>
      </w:r>
      <w:r w:rsidR="001B11A0">
        <w:rPr>
          <w:rFonts w:cstheme="minorHAnsi"/>
        </w:rPr>
        <w:t>aństwa przewiduje również spowolnienie wzrostu cen towarów i usług z poziomu 14,4% w roku 2022 do 3,9 % w roku 2025.</w:t>
      </w:r>
    </w:p>
    <w:p w:rsidR="001B11A0" w:rsidRDefault="00351AFE" w:rsidP="00EA0C4F">
      <w:pPr>
        <w:shd w:val="clear" w:color="auto" w:fill="FFFFFF" w:themeFill="background1"/>
        <w:spacing w:before="120" w:after="120" w:line="276" w:lineRule="auto"/>
        <w:jc w:val="both"/>
      </w:pPr>
      <w:r>
        <w:tab/>
      </w:r>
      <w:r w:rsidR="001B11A0">
        <w:t xml:space="preserve">Na uwagę zasługuje informacja o </w:t>
      </w:r>
      <w:r w:rsidR="0083169A">
        <w:t xml:space="preserve">zwiększonych w 2022 r. wpływach z akcyzy od alkoholu etylowego </w:t>
      </w:r>
      <w:r w:rsidR="00D96246">
        <w:t xml:space="preserve">    </w:t>
      </w:r>
      <w:r w:rsidR="0083169A">
        <w:t>o 12,1% r/r jako efekt podwyższenia stawek w ramach ustawy z dnia 29 października 2021 r. o zmianie ustawy o podatku akcyzowym oraz ustawy o zmianie ustawy o podatku akcyzowym oraz niektóryc</w:t>
      </w:r>
      <w:r w:rsidR="00F251CA">
        <w:t>h innych ustaw</w:t>
      </w:r>
      <w:r w:rsidR="0083169A">
        <w:t>. P</w:t>
      </w:r>
      <w:r w:rsidR="001B11A0">
        <w:t>odwyższenie stawek akcyzy na alkohol i wyroby tytoniowe</w:t>
      </w:r>
      <w:r w:rsidR="0083169A">
        <w:t>,</w:t>
      </w:r>
      <w:r w:rsidR="001B11A0">
        <w:t xml:space="preserve"> w celu realizowania zadań w </w:t>
      </w:r>
      <w:r w:rsidR="0083169A">
        <w:t>zakresie polityki prozdrowotnej, ma zwiększyć wpływy podatkowe również w roku 2023.</w:t>
      </w:r>
    </w:p>
    <w:p w:rsidR="0021472E" w:rsidRPr="0021472E" w:rsidRDefault="00351AFE" w:rsidP="00EA0C4F">
      <w:pPr>
        <w:shd w:val="clear" w:color="auto" w:fill="FFFFFF" w:themeFill="background1"/>
        <w:spacing w:before="120" w:after="120" w:line="276" w:lineRule="auto"/>
        <w:jc w:val="both"/>
      </w:pPr>
      <w:r>
        <w:tab/>
      </w:r>
      <w:r w:rsidR="0083169A">
        <w:t xml:space="preserve">Istniejąca tendencja do </w:t>
      </w:r>
      <w:r w:rsidR="00F251CA">
        <w:t>wzrostu</w:t>
      </w:r>
      <w:r w:rsidR="0083169A">
        <w:t xml:space="preserve"> finasowania świadczeń zdrowotnych, wymuszona rosnącymi potrzebami w tym obszarze</w:t>
      </w:r>
      <w:r w:rsidR="0021472E">
        <w:t>,</w:t>
      </w:r>
      <w:r w:rsidR="0083169A">
        <w:t xml:space="preserve"> pozwala założyć stabilność w finansowaniu świadczeń SP ZOZ Centrum Leczenia Uzależnień zarówno w zakresie opieki psychiatrycznej i leczenia uzależnień finansowanych </w:t>
      </w:r>
      <w:r w:rsidR="0021472E">
        <w:t xml:space="preserve">      </w:t>
      </w:r>
      <w:r w:rsidR="0083169A">
        <w:t>z Narodowego Funduszu Zdrowia</w:t>
      </w:r>
      <w:r w:rsidR="0021472E">
        <w:t>,</w:t>
      </w:r>
      <w:r w:rsidR="0083169A">
        <w:t xml:space="preserve"> jak i świadczeń psychoterapeutycznych i profilaktycznych realizowanych w ramach Miejskiego Programu</w:t>
      </w:r>
      <w:r w:rsidR="0021472E">
        <w:t xml:space="preserve"> Profilaktyki i Rozwiązywania Problemów Alkoholowych oraz Przeciwdziałania Narkomanii na lata 2022 – 2025, finansowanych z dotacji podmiotowej Urzędu </w:t>
      </w:r>
      <w:r w:rsidR="0021472E">
        <w:lastRenderedPageBreak/>
        <w:t>Miasta Rzeszowa. Z kolei przewidywany spadek inflacji powinien ustabilizować wzrost kosztów rzeczowych placówki. Koszty osobowe, związane z zatrudnieniem kadry SP ZOZ CLU, pomimo utrzymywania</w:t>
      </w:r>
      <w:r w:rsidR="002442E0">
        <w:t xml:space="preserve"> stałego poziomu zatrudnienia systematycznie rosną w związku z utrzymującą się tendencją podwyższania płacy minimalnej, oraz ustawowym wzrostem wynagrodzeń pracowników wykonujących zawody medyczne oraz pozostałych pracowników Zakładu w zakresie nałożonym pr</w:t>
      </w:r>
      <w:r w:rsidR="00F251CA">
        <w:t>zez Ustawę z dnia 8 czerwca 2017 r. o sposobie ustalania najniższego wynagrodzenia zasadniczego niektórych pracowników zatrudnionych w podmiotach leczniczych.</w:t>
      </w:r>
      <w:r w:rsidR="002442E0">
        <w:t xml:space="preserve"> </w:t>
      </w:r>
    </w:p>
    <w:p w:rsidR="00E35747" w:rsidRPr="00E35747" w:rsidRDefault="00E35747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</w:p>
    <w:p w:rsidR="00E35747" w:rsidRDefault="00E35747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E35747">
        <w:rPr>
          <w:rFonts w:cstheme="minorHAnsi"/>
          <w:b/>
        </w:rPr>
        <w:tab/>
        <w:t>PRZYJĘTE ZAŁOŻENIA</w:t>
      </w:r>
      <w:r w:rsidR="00F251CA">
        <w:rPr>
          <w:rFonts w:cstheme="minorHAnsi"/>
          <w:b/>
        </w:rPr>
        <w:t xml:space="preserve"> W ZAKRESIE OBLICZEŃ</w:t>
      </w:r>
    </w:p>
    <w:p w:rsidR="00E35747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E35747">
        <w:rPr>
          <w:rFonts w:cstheme="minorHAnsi"/>
        </w:rPr>
        <w:t xml:space="preserve">Projekcja przyszłych </w:t>
      </w:r>
      <w:r w:rsidR="00EE5085">
        <w:rPr>
          <w:rFonts w:cstheme="minorHAnsi"/>
        </w:rPr>
        <w:t>danych</w:t>
      </w:r>
      <w:r w:rsidR="00E35747">
        <w:rPr>
          <w:rFonts w:cstheme="minorHAnsi"/>
        </w:rPr>
        <w:t xml:space="preserve"> finansowych została sporządzona w sposób szacunkowy na bazie rzeczywistych wyników z lat ubiegłych, z uwzględnieniem planu finansowego na rok 2023 oraz wstępnych danych z I kwartału 2023 r.</w:t>
      </w:r>
      <w:r w:rsidR="0024556F">
        <w:rPr>
          <w:rFonts w:cstheme="minorHAnsi"/>
        </w:rPr>
        <w:t xml:space="preserve"> </w:t>
      </w:r>
    </w:p>
    <w:p w:rsidR="00774FA7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774FA7">
        <w:rPr>
          <w:rFonts w:cstheme="minorHAnsi"/>
        </w:rPr>
        <w:t>Na rok 2023 przyjęto 12% wzrost wynagrodzeń oraz wyceny świadczeń NFZ</w:t>
      </w:r>
      <w:r w:rsidR="00F251CA">
        <w:rPr>
          <w:rFonts w:cstheme="minorHAnsi"/>
        </w:rPr>
        <w:t xml:space="preserve"> (od miesiąca lipca)</w:t>
      </w:r>
      <w:r w:rsidR="00774FA7">
        <w:rPr>
          <w:rFonts w:cstheme="minorHAnsi"/>
        </w:rPr>
        <w:t xml:space="preserve">. </w:t>
      </w:r>
    </w:p>
    <w:p w:rsidR="00774FA7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774FA7">
        <w:rPr>
          <w:rFonts w:cstheme="minorHAnsi"/>
        </w:rPr>
        <w:t xml:space="preserve">Projekcja danych finansowych na lata 2024 i 2025 została sporządzona </w:t>
      </w:r>
      <w:r w:rsidR="000B0118">
        <w:rPr>
          <w:rFonts w:cstheme="minorHAnsi"/>
        </w:rPr>
        <w:t xml:space="preserve">w sposób szacunkowy </w:t>
      </w:r>
      <w:r w:rsidR="00D64712">
        <w:rPr>
          <w:rFonts w:cstheme="minorHAnsi"/>
        </w:rPr>
        <w:t xml:space="preserve">                </w:t>
      </w:r>
      <w:r w:rsidR="00774FA7">
        <w:rPr>
          <w:rFonts w:cstheme="minorHAnsi"/>
        </w:rPr>
        <w:t xml:space="preserve">w oparciu o uśredniony trend zmian poszczególnych wartości w poprzednich 3 latach obrotowych </w:t>
      </w:r>
      <w:r w:rsidR="00D64712">
        <w:rPr>
          <w:rFonts w:cstheme="minorHAnsi"/>
        </w:rPr>
        <w:t xml:space="preserve">             </w:t>
      </w:r>
      <w:r w:rsidR="00774FA7">
        <w:rPr>
          <w:rFonts w:cstheme="minorHAnsi"/>
        </w:rPr>
        <w:t xml:space="preserve">z </w:t>
      </w:r>
      <w:r w:rsidR="000B0118">
        <w:rPr>
          <w:rFonts w:cstheme="minorHAnsi"/>
        </w:rPr>
        <w:t xml:space="preserve">zastosowaniem uproszczeń i </w:t>
      </w:r>
      <w:r w:rsidR="00774FA7">
        <w:rPr>
          <w:rFonts w:cstheme="minorHAnsi"/>
        </w:rPr>
        <w:t>uw</w:t>
      </w:r>
      <w:r w:rsidR="000B0118">
        <w:rPr>
          <w:rFonts w:cstheme="minorHAnsi"/>
        </w:rPr>
        <w:t>zględnieniem koni</w:t>
      </w:r>
      <w:r w:rsidR="0070644C">
        <w:rPr>
          <w:rFonts w:cstheme="minorHAnsi"/>
        </w:rPr>
        <w:t>e</w:t>
      </w:r>
      <w:r w:rsidR="000B0118">
        <w:rPr>
          <w:rFonts w:cstheme="minorHAnsi"/>
        </w:rPr>
        <w:t>cznych korekt w celu urealnienia wartości.</w:t>
      </w:r>
    </w:p>
    <w:p w:rsidR="00E309E9" w:rsidRDefault="00351AFE" w:rsidP="00E309E9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0B0118">
        <w:rPr>
          <w:rFonts w:cstheme="minorHAnsi"/>
        </w:rPr>
        <w:t>Przyjęto</w:t>
      </w:r>
      <w:r w:rsidR="00D64712">
        <w:rPr>
          <w:rFonts w:cstheme="minorHAnsi"/>
        </w:rPr>
        <w:t xml:space="preserve"> nie</w:t>
      </w:r>
      <w:r w:rsidR="00D123A2">
        <w:rPr>
          <w:rFonts w:cstheme="minorHAnsi"/>
        </w:rPr>
        <w:t>zmienioną strukturę przychodów i kosztów w poszczególnych latach, realizację poszczególnych usług na dotychczasowym poziomie oraz brak</w:t>
      </w:r>
      <w:r w:rsidR="0030375C">
        <w:rPr>
          <w:rFonts w:cstheme="minorHAnsi"/>
        </w:rPr>
        <w:t xml:space="preserve"> istotnych</w:t>
      </w:r>
      <w:r w:rsidR="00D123A2">
        <w:rPr>
          <w:rFonts w:cstheme="minorHAnsi"/>
        </w:rPr>
        <w:t xml:space="preserve"> z</w:t>
      </w:r>
      <w:r w:rsidR="00D64712">
        <w:rPr>
          <w:rFonts w:cstheme="minorHAnsi"/>
        </w:rPr>
        <w:t>mian w strukturze zatrudnienia.</w:t>
      </w:r>
      <w:r w:rsidR="00E309E9">
        <w:rPr>
          <w:rFonts w:cstheme="minorHAnsi"/>
        </w:rPr>
        <w:t xml:space="preserve"> </w:t>
      </w:r>
      <w:r w:rsidR="00E309E9">
        <w:rPr>
          <w:rFonts w:cstheme="minorHAnsi"/>
        </w:rPr>
        <w:t xml:space="preserve">Przy prognozie danych na lata 2023-2025 przyjmuje się kontynuowanie projektu finansowanego ze środków UNICEF jedynie w roku 2023. </w:t>
      </w:r>
    </w:p>
    <w:p w:rsidR="0024556F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24556F">
        <w:rPr>
          <w:rFonts w:cstheme="minorHAnsi"/>
        </w:rPr>
        <w:t xml:space="preserve">Projekcja przychodów na lata przyszłe została opracowana przy założeniu nie zmienionych </w:t>
      </w:r>
      <w:r w:rsidR="00D64712">
        <w:rPr>
          <w:rFonts w:cstheme="minorHAnsi"/>
        </w:rPr>
        <w:t xml:space="preserve">                     </w:t>
      </w:r>
      <w:r w:rsidR="0024556F">
        <w:rPr>
          <w:rFonts w:cstheme="minorHAnsi"/>
        </w:rPr>
        <w:t xml:space="preserve">w przyszłości </w:t>
      </w:r>
      <w:r w:rsidR="00062607">
        <w:rPr>
          <w:rFonts w:cstheme="minorHAnsi"/>
        </w:rPr>
        <w:t xml:space="preserve"> </w:t>
      </w:r>
      <w:r w:rsidR="0024556F">
        <w:rPr>
          <w:rFonts w:cstheme="minorHAnsi"/>
        </w:rPr>
        <w:t>warunków prawnych i gospodarczych działalno</w:t>
      </w:r>
      <w:r w:rsidR="00062607">
        <w:rPr>
          <w:rFonts w:cstheme="minorHAnsi"/>
        </w:rPr>
        <w:t>ści placówki oraz nie zmienionych</w:t>
      </w:r>
      <w:r w:rsidR="0024556F">
        <w:rPr>
          <w:rFonts w:cstheme="minorHAnsi"/>
        </w:rPr>
        <w:t xml:space="preserve"> istotnie rodzaju i poziomu świadczonych usług. Uwzględniono, że NFZ sfinansuje zwię</w:t>
      </w:r>
      <w:r w:rsidR="00D64712">
        <w:rPr>
          <w:rFonts w:cstheme="minorHAnsi"/>
        </w:rPr>
        <w:t xml:space="preserve">kszony limit świadczeń    </w:t>
      </w:r>
      <w:r w:rsidR="0024556F">
        <w:rPr>
          <w:rFonts w:cstheme="minorHAnsi"/>
        </w:rPr>
        <w:t xml:space="preserve"> w związku z wykonaniem przez placówkę świadczeń ponad wartość umowy.</w:t>
      </w:r>
    </w:p>
    <w:p w:rsidR="00563217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563217">
        <w:rPr>
          <w:rFonts w:cstheme="minorHAnsi"/>
        </w:rPr>
        <w:t>Prognoza została sporządzona przy założeniu kontynuowania działalności przez SP ZOZ Centrum Leczenia Uzależnień w dającej się przewidzieć przyszłości, ponieważ nie istnieją przesłanki wskazujące na zagrożenie kontynuacji działania.</w:t>
      </w:r>
    </w:p>
    <w:p w:rsidR="00D64712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D64712">
        <w:rPr>
          <w:rFonts w:cstheme="minorHAnsi"/>
        </w:rPr>
        <w:t>Projekcja danych finansowych na lata 2023-2025:</w:t>
      </w:r>
    </w:p>
    <w:tbl>
      <w:tblPr>
        <w:tblW w:w="7100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960"/>
        <w:gridCol w:w="960"/>
        <w:gridCol w:w="960"/>
      </w:tblGrid>
      <w:tr w:rsidR="009E0DE1" w:rsidRPr="009E0DE1" w:rsidTr="00FF0499">
        <w:trPr>
          <w:trHeight w:val="420"/>
          <w:jc w:val="center"/>
        </w:trPr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lang w:eastAsia="pl-PL"/>
              </w:rPr>
              <w:t>Wyszczególnienie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2023 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2024 r.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2025 r.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tys. zł.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Przychody netto ze sprzedaży produktów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3 695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4 041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4 428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POZOSTAŁE PRZYCHODY OPERACYJNE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255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94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95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Z DZIAŁALNOŚCI OPERACYJNEJ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20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28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32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PRZYCHODY FINANSOWE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1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ZYSK (STRATA) NETTO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19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26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29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AKTYWA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3 475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3 461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3 479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aktywów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3 517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3 468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3 470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AKTYWA OBROTOWE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885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957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1 090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Zapasy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4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5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lastRenderedPageBreak/>
              <w:t>Należności krótkoterminowe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286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320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357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Należności z tytułu dostaw i usług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286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320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357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należności z tytułu dostaw i usług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271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303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338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Krótkoterminowe rozliczenia międzyokresowe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2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  2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KAPITAŁ (FUNDUSZ) WŁASNY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983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1 009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1 038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Zobowiązania krótkoterminowe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356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387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444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Zobowiązania z tytułu dostaw i usług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57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65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75    </w:t>
            </w:r>
          </w:p>
        </w:tc>
      </w:tr>
      <w:tr w:rsidR="009E0DE1" w:rsidRPr="009E0DE1" w:rsidTr="00FF0499">
        <w:trPr>
          <w:trHeight w:val="420"/>
          <w:jc w:val="center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Średni stan zobowiązań z tytułu dostaw i usług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53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61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DE1" w:rsidRPr="009E0DE1" w:rsidRDefault="009E0DE1" w:rsidP="009E0D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0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          70    </w:t>
            </w:r>
          </w:p>
        </w:tc>
      </w:tr>
    </w:tbl>
    <w:p w:rsidR="009E0DE1" w:rsidRDefault="009E0DE1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</w:p>
    <w:p w:rsidR="009E0DE1" w:rsidRDefault="009E0DE1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Biorąc pod uwagę założone dane finansowe, przewidywane wartości wskaźników przedstawiają się, jak w tabeli poniżej:</w:t>
      </w:r>
    </w:p>
    <w:p w:rsidR="009E0DE1" w:rsidRPr="00370FAA" w:rsidRDefault="009E0DE1" w:rsidP="00C83831">
      <w:pPr>
        <w:shd w:val="clear" w:color="auto" w:fill="FFFFFF" w:themeFill="background1"/>
        <w:spacing w:before="120" w:after="120" w:line="276" w:lineRule="auto"/>
        <w:ind w:left="-567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74FA7" w:rsidRPr="00774FA7">
        <w:rPr>
          <w:noProof/>
          <w:lang w:eastAsia="pl-PL"/>
        </w:rPr>
        <w:drawing>
          <wp:inline distT="0" distB="0" distL="0" distR="0" wp14:anchorId="1D6DE17F" wp14:editId="1B7079F7">
            <wp:extent cx="6530008" cy="4303514"/>
            <wp:effectExtent l="0" t="0" r="4445" b="190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59" cy="430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747" w:rsidRDefault="00351AFE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="00032BB1">
        <w:rPr>
          <w:rFonts w:cstheme="minorHAnsi"/>
        </w:rPr>
        <w:t>Z analizy wskaźnikowej wynika, że sytuacja finansowa SP ZOZ Centrum Leczenia Uzależnień, przewidywana w kolejnych latach obrotowych, przy przyjętych założeniach</w:t>
      </w:r>
      <w:r w:rsidR="00A526BA">
        <w:rPr>
          <w:rFonts w:cstheme="minorHAnsi"/>
        </w:rPr>
        <w:t>,</w:t>
      </w:r>
      <w:r w:rsidR="00032BB1">
        <w:rPr>
          <w:rFonts w:cstheme="minorHAnsi"/>
        </w:rPr>
        <w:t xml:space="preserve"> będzie stabilna. Wskaźniki płynności, efektywności i zadłużenia przyjmują maksymalne oceny, natomiast wskaźniki zyskowności wykazując dodatnie wartości wskazują na utrzymywanie przez placówkę dodatniego wyniku finansowego w poszczególnych latach.</w:t>
      </w:r>
    </w:p>
    <w:p w:rsidR="00FF0499" w:rsidRDefault="00FF0499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E35747">
        <w:rPr>
          <w:rFonts w:cstheme="minorHAnsi"/>
          <w:b/>
        </w:rPr>
        <w:t>V</w:t>
      </w:r>
      <w:r>
        <w:rPr>
          <w:rFonts w:cstheme="minorHAnsi"/>
          <w:b/>
        </w:rPr>
        <w:t>I</w:t>
      </w:r>
      <w:r w:rsidRPr="00E35747">
        <w:rPr>
          <w:rFonts w:cstheme="minorHAnsi"/>
          <w:b/>
        </w:rPr>
        <w:t xml:space="preserve">. </w:t>
      </w:r>
      <w:r>
        <w:rPr>
          <w:rFonts w:cstheme="minorHAnsi"/>
          <w:b/>
        </w:rPr>
        <w:t>ISTOTNE ZDARZENIA MAJĄCE WPŁYW NA SYTUACJĘ EKONOMICZNO-FINANSOWĄ</w:t>
      </w:r>
    </w:p>
    <w:p w:rsidR="00FF0499" w:rsidRDefault="007454AB" w:rsidP="00627D05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>
        <w:rPr>
          <w:rFonts w:cstheme="minorHAnsi"/>
        </w:rPr>
        <w:t>Na sytuację ekonomiczno-finansową SP ZOZ Centrum Leczenia Uzależnień mogą mieć wpływ poniższe czynniki:</w:t>
      </w:r>
    </w:p>
    <w:p w:rsidR="004F2DEA" w:rsidRDefault="004F2DEA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4F2DEA">
        <w:rPr>
          <w:rFonts w:cstheme="minorHAnsi"/>
        </w:rPr>
        <w:t xml:space="preserve">W lipcu 2021 r. Podkarpacki Wojewódzki Inspektor Farmaceutyczny, w związku ze zmianą przepisów prawa farmaceutycznego, nakazał SP ZOZ CLU zapewnienie minimalnej normy zatrudnienia w dziale farmacji w wymiarze równoważnika 1 etatu farmaceuty. Placówka zatrudnia farmaceutę na umowę zlecenie w wymiarze 8 godz. w miesiącu. Z uwagi na konieczność ponoszenia znacznych, nieuzasadnionych wymiarem obowiązków pracownika kosztów, placówka odwołała się od w/w decyzji.  WSA oddalił skargę w marcu 2023 r. Złożono kasację do NSA. W sytuacji przegrania sprawy sądowej SP ZOZ CLU będzie obowiązany do ponoszenia dodatkowych kosztów z tego tytułu w kwocie około 90 000 zł rocznie. </w:t>
      </w:r>
    </w:p>
    <w:p w:rsidR="004F2DEA" w:rsidRDefault="00BE3132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SP ZOZ CLU stoi w obliczu niepewności w zakresie poziomu </w:t>
      </w:r>
      <w:r w:rsidR="00062607">
        <w:rPr>
          <w:rFonts w:cstheme="minorHAnsi"/>
        </w:rPr>
        <w:t>kontraktu na świadczenia finansowane</w:t>
      </w:r>
      <w:r>
        <w:rPr>
          <w:rFonts w:cstheme="minorHAnsi"/>
        </w:rPr>
        <w:t xml:space="preserve"> przez NFZ. W 2023 r. nastąpiło o</w:t>
      </w:r>
      <w:r w:rsidR="001C0997">
        <w:rPr>
          <w:rFonts w:cstheme="minorHAnsi"/>
        </w:rPr>
        <w:t xml:space="preserve">bniżenie wartości kontraktu </w:t>
      </w:r>
      <w:r>
        <w:rPr>
          <w:rFonts w:cstheme="minorHAnsi"/>
        </w:rPr>
        <w:t xml:space="preserve">w stosunku do roku poprzedniego </w:t>
      </w:r>
      <w:r w:rsidR="001C0997">
        <w:rPr>
          <w:rFonts w:cstheme="minorHAnsi"/>
        </w:rPr>
        <w:t>w zakresie świadczeń lecze</w:t>
      </w:r>
      <w:r>
        <w:rPr>
          <w:rFonts w:cstheme="minorHAnsi"/>
        </w:rPr>
        <w:t xml:space="preserve">nia uzależnień stacjonarnego o 10%. Nastąpiło ono </w:t>
      </w:r>
      <w:r w:rsidR="00062607">
        <w:rPr>
          <w:rFonts w:cstheme="minorHAnsi"/>
        </w:rPr>
        <w:t xml:space="preserve">         </w:t>
      </w:r>
      <w:r>
        <w:rPr>
          <w:rFonts w:cstheme="minorHAnsi"/>
        </w:rPr>
        <w:t>z powodu niewykonania całości zakontraktowanych świadczeń w roku 2022, co było spowodowane głównie skutkami pandemii COVID19 (</w:t>
      </w:r>
      <w:r w:rsidR="001216C1">
        <w:rPr>
          <w:rFonts w:cstheme="minorHAnsi"/>
        </w:rPr>
        <w:t xml:space="preserve">m.in. </w:t>
      </w:r>
      <w:r>
        <w:rPr>
          <w:rFonts w:cstheme="minorHAnsi"/>
        </w:rPr>
        <w:t>dwukrotne zamknięcie pracy oddziału leczenia uzależnień na skutek zakażeń wirusem wśród pacjentów i personelu).</w:t>
      </w:r>
    </w:p>
    <w:p w:rsidR="00BE3132" w:rsidRPr="001216C1" w:rsidRDefault="00BE3132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Wzrost płacy minimalnej oraz </w:t>
      </w:r>
      <w:r w:rsidR="001216C1">
        <w:rPr>
          <w:rFonts w:cstheme="minorHAnsi"/>
        </w:rPr>
        <w:t>przepisy Ustawy</w:t>
      </w:r>
      <w:r w:rsidR="001216C1">
        <w:t xml:space="preserve"> z dnia 8 czerwca 2017 r. o sposobie ustalania najniższego wynagrodzenia zasadniczego niektórych pracowników zatrudnionych                       w podmiotach leczniczych obligują placówkę do corocznego zwiększania kosztów wynagrodzeń przy stałym poziomie zatrudnienia.</w:t>
      </w:r>
      <w:r w:rsidR="001216C1" w:rsidRPr="002F4E00">
        <w:t xml:space="preserve"> </w:t>
      </w:r>
      <w:r w:rsidR="002F4E00">
        <w:t>Jednocześnie</w:t>
      </w:r>
      <w:r w:rsidR="002F4E00" w:rsidRPr="002F4E00">
        <w:t xml:space="preserve"> brak jest systemowych rozwiązań w kwestii adekwatnego wzrostu wyceny świadczeń, co powoduje niepewność w zakresie planowania </w:t>
      </w:r>
      <w:r w:rsidR="006238FF">
        <w:t>finansów</w:t>
      </w:r>
      <w:r w:rsidR="002F4E00" w:rsidRPr="002F4E00">
        <w:t xml:space="preserve"> placówki.</w:t>
      </w:r>
    </w:p>
    <w:p w:rsidR="001216C1" w:rsidRPr="00F25F8E" w:rsidRDefault="001216C1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>
        <w:t>Przekroczenie średniego zatrudnienia na poziomie 25 etatów spowodowało konieczność ponoszenia</w:t>
      </w:r>
      <w:r w:rsidR="002A2B57">
        <w:t xml:space="preserve"> przez placówkę</w:t>
      </w:r>
      <w:r>
        <w:t xml:space="preserve"> </w:t>
      </w:r>
      <w:r w:rsidR="000C78A6">
        <w:t xml:space="preserve">dodatkowych kosztów w postaci </w:t>
      </w:r>
      <w:r>
        <w:t>wpłat na PFRON.</w:t>
      </w:r>
    </w:p>
    <w:p w:rsidR="00F25F8E" w:rsidRDefault="00F25F8E" w:rsidP="00F25F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2876EB">
        <w:rPr>
          <w:rFonts w:cstheme="minorHAnsi"/>
        </w:rPr>
        <w:t>Trudności w utrzymaniu i pozyskaniu do pracy specjalistów. Konkurencyjne stawki wynagrodzeń oraz niedostateczna ilość specjalistów na rynku pracy</w:t>
      </w:r>
      <w:r w:rsidR="002A2B57">
        <w:rPr>
          <w:rFonts w:cstheme="minorHAnsi"/>
        </w:rPr>
        <w:t>,</w:t>
      </w:r>
      <w:r w:rsidRPr="002876EB">
        <w:rPr>
          <w:rFonts w:cstheme="minorHAnsi"/>
        </w:rPr>
        <w:t xml:space="preserve"> w połączeniu z ciągle rosnącym zapotrzebowaniem na ich usługi</w:t>
      </w:r>
      <w:r w:rsidR="002A2B57">
        <w:rPr>
          <w:rFonts w:cstheme="minorHAnsi"/>
        </w:rPr>
        <w:t>,</w:t>
      </w:r>
      <w:r w:rsidRPr="002876EB">
        <w:rPr>
          <w:rFonts w:cstheme="minorHAnsi"/>
        </w:rPr>
        <w:t xml:space="preserve"> powoduje rotację pracowników </w:t>
      </w:r>
      <w:r w:rsidR="00562724">
        <w:rPr>
          <w:rFonts w:cstheme="minorHAnsi"/>
        </w:rPr>
        <w:t>z powodu uzyskiwania korzystniejszych</w:t>
      </w:r>
      <w:r w:rsidRPr="002876EB">
        <w:rPr>
          <w:rFonts w:cstheme="minorHAnsi"/>
        </w:rPr>
        <w:t xml:space="preserve"> warunków płacowych na rynku.</w:t>
      </w:r>
    </w:p>
    <w:p w:rsidR="001216C1" w:rsidRDefault="007454AB" w:rsidP="004F2DE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Brak znaczących możliwości rozwoju placówki z uwagi na ograniczenia lokalowe.</w:t>
      </w:r>
    </w:p>
    <w:p w:rsidR="007454AB" w:rsidRPr="002876EB" w:rsidRDefault="007454AB" w:rsidP="002876E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  <w:r w:rsidRPr="002876EB">
        <w:rPr>
          <w:rFonts w:cstheme="minorHAnsi"/>
        </w:rPr>
        <w:t>Niepewność związana z sytuacją geopolityczną i jej wpływem na gospodarkę.</w:t>
      </w:r>
    </w:p>
    <w:p w:rsidR="004F2DEA" w:rsidRDefault="004F2DEA" w:rsidP="00FA21E1">
      <w:pPr>
        <w:autoSpaceDE w:val="0"/>
        <w:autoSpaceDN w:val="0"/>
        <w:adjustRightInd w:val="0"/>
        <w:spacing w:before="120" w:after="120" w:line="276" w:lineRule="auto"/>
        <w:jc w:val="both"/>
        <w:rPr>
          <w:rFonts w:cstheme="minorHAnsi"/>
        </w:rPr>
      </w:pPr>
    </w:p>
    <w:p w:rsidR="007454AB" w:rsidRDefault="007454AB" w:rsidP="007454AB">
      <w:pPr>
        <w:shd w:val="clear" w:color="auto" w:fill="FFFFFF" w:themeFill="background1"/>
        <w:spacing w:before="120" w:after="120" w:line="276" w:lineRule="auto"/>
        <w:jc w:val="both"/>
        <w:rPr>
          <w:rFonts w:cstheme="minorHAnsi"/>
          <w:b/>
        </w:rPr>
      </w:pPr>
      <w:r w:rsidRPr="00E35747">
        <w:rPr>
          <w:rFonts w:cstheme="minorHAnsi"/>
          <w:b/>
        </w:rPr>
        <w:t>V</w:t>
      </w:r>
      <w:r>
        <w:rPr>
          <w:rFonts w:cstheme="minorHAnsi"/>
          <w:b/>
        </w:rPr>
        <w:t>II</w:t>
      </w:r>
      <w:r w:rsidRPr="00E35747">
        <w:rPr>
          <w:rFonts w:cstheme="minorHAnsi"/>
          <w:b/>
        </w:rPr>
        <w:t xml:space="preserve">. </w:t>
      </w:r>
      <w:r>
        <w:rPr>
          <w:rFonts w:cstheme="minorHAnsi"/>
          <w:b/>
        </w:rPr>
        <w:t>PODSUMOWANIE</w:t>
      </w:r>
    </w:p>
    <w:p w:rsidR="00E0246F" w:rsidRDefault="00D07F0B" w:rsidP="00E0246F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 w:rsidRPr="00E0246F">
        <w:rPr>
          <w:rFonts w:cstheme="minorHAnsi"/>
        </w:rPr>
        <w:t xml:space="preserve">SP ZOZ Centrum Leczenia Uzależnień </w:t>
      </w:r>
      <w:r w:rsidR="00F25F8E" w:rsidRPr="00E0246F">
        <w:rPr>
          <w:rFonts w:cstheme="minorHAnsi"/>
        </w:rPr>
        <w:t>pozostaje w dobrej kondycji  finansowej.  Analiza</w:t>
      </w:r>
      <w:r w:rsidR="00BC2889" w:rsidRPr="00E0246F">
        <w:rPr>
          <w:rFonts w:cstheme="minorHAnsi"/>
        </w:rPr>
        <w:t xml:space="preserve"> wskaźnikowa wskazuje na racjonalne dysponowanie zasobami  i  zarządzanie placówką.  </w:t>
      </w:r>
    </w:p>
    <w:p w:rsidR="00EB3668" w:rsidRPr="00E0246F" w:rsidRDefault="00E0246F" w:rsidP="00E0246F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Zakład </w:t>
      </w:r>
      <w:r w:rsidR="00BC2889" w:rsidRPr="00E0246F">
        <w:rPr>
          <w:rFonts w:cstheme="minorHAnsi"/>
        </w:rPr>
        <w:t>w latach</w:t>
      </w:r>
      <w:r w:rsidR="00D07F0B" w:rsidRPr="00E0246F">
        <w:rPr>
          <w:rFonts w:cstheme="minorHAnsi"/>
        </w:rPr>
        <w:t xml:space="preserve"> </w:t>
      </w:r>
      <w:r w:rsidR="00DB3B83" w:rsidRPr="00E0246F">
        <w:rPr>
          <w:rFonts w:cstheme="minorHAnsi"/>
        </w:rPr>
        <w:t xml:space="preserve"> </w:t>
      </w:r>
      <w:r w:rsidR="00BC2889" w:rsidRPr="00E0246F">
        <w:rPr>
          <w:rFonts w:cstheme="minorHAnsi"/>
        </w:rPr>
        <w:t>2023</w:t>
      </w:r>
      <w:r w:rsidR="00B34997" w:rsidRPr="00E0246F">
        <w:rPr>
          <w:rFonts w:cstheme="minorHAnsi"/>
        </w:rPr>
        <w:t>-20</w:t>
      </w:r>
      <w:r w:rsidR="00EC2A4C" w:rsidRPr="00E0246F">
        <w:rPr>
          <w:rFonts w:cstheme="minorHAnsi"/>
        </w:rPr>
        <w:t>2</w:t>
      </w:r>
      <w:r w:rsidR="00BC2889" w:rsidRPr="00E0246F">
        <w:rPr>
          <w:rFonts w:cstheme="minorHAnsi"/>
        </w:rPr>
        <w:t>5</w:t>
      </w:r>
      <w:r w:rsidR="005466F9" w:rsidRPr="00E0246F">
        <w:rPr>
          <w:rFonts w:cstheme="minorHAnsi"/>
        </w:rPr>
        <w:t xml:space="preserve">  planuje</w:t>
      </w:r>
      <w:r w:rsidR="00465421" w:rsidRPr="00E0246F">
        <w:rPr>
          <w:rFonts w:cstheme="minorHAnsi"/>
        </w:rPr>
        <w:t xml:space="preserve"> w dalszym ciągu</w:t>
      </w:r>
      <w:r w:rsidR="00903DDB" w:rsidRPr="00E0246F">
        <w:rPr>
          <w:rFonts w:cstheme="minorHAnsi"/>
        </w:rPr>
        <w:t xml:space="preserve"> realizować</w:t>
      </w:r>
      <w:r w:rsidR="00DB3B83" w:rsidRPr="00E0246F">
        <w:rPr>
          <w:rFonts w:cstheme="minorHAnsi"/>
        </w:rPr>
        <w:t xml:space="preserve"> zada</w:t>
      </w:r>
      <w:r w:rsidR="00903DDB" w:rsidRPr="00E0246F">
        <w:rPr>
          <w:rFonts w:cstheme="minorHAnsi"/>
        </w:rPr>
        <w:t>nia</w:t>
      </w:r>
      <w:r w:rsidR="00DB3B83" w:rsidRPr="00E0246F">
        <w:rPr>
          <w:rFonts w:cstheme="minorHAnsi"/>
        </w:rPr>
        <w:t xml:space="preserve"> statutow</w:t>
      </w:r>
      <w:r w:rsidR="00903DDB" w:rsidRPr="00E0246F">
        <w:rPr>
          <w:rFonts w:cstheme="minorHAnsi"/>
        </w:rPr>
        <w:t>e</w:t>
      </w:r>
      <w:r w:rsidR="00D07F0B" w:rsidRPr="00E0246F">
        <w:rPr>
          <w:rFonts w:cstheme="minorHAnsi"/>
        </w:rPr>
        <w:t>, finansowan</w:t>
      </w:r>
      <w:r w:rsidR="00903DDB" w:rsidRPr="00E0246F">
        <w:rPr>
          <w:rFonts w:cstheme="minorHAnsi"/>
        </w:rPr>
        <w:t>e</w:t>
      </w:r>
      <w:r w:rsidR="00D07F0B" w:rsidRPr="00E0246F">
        <w:rPr>
          <w:rFonts w:cstheme="minorHAnsi"/>
        </w:rPr>
        <w:t xml:space="preserve"> przez </w:t>
      </w:r>
      <w:r w:rsidR="00C80DEC" w:rsidRPr="00E0246F">
        <w:rPr>
          <w:rFonts w:cstheme="minorHAnsi"/>
        </w:rPr>
        <w:t>Narodowy Fundusz Zdrowia</w:t>
      </w:r>
      <w:r w:rsidR="00C77639" w:rsidRPr="00E0246F">
        <w:rPr>
          <w:rFonts w:cstheme="minorHAnsi"/>
        </w:rPr>
        <w:t xml:space="preserve"> w zakresie</w:t>
      </w:r>
      <w:r w:rsidR="00BC2889" w:rsidRPr="00E0246F">
        <w:rPr>
          <w:rFonts w:cstheme="minorHAnsi"/>
        </w:rPr>
        <w:t xml:space="preserve">: </w:t>
      </w:r>
      <w:r w:rsidR="00A34DD7" w:rsidRPr="00E0246F">
        <w:rPr>
          <w:rFonts w:cstheme="minorHAnsi"/>
        </w:rPr>
        <w:t>świadczenia terapii uzależnień</w:t>
      </w:r>
      <w:r>
        <w:rPr>
          <w:rFonts w:cstheme="minorHAnsi"/>
        </w:rPr>
        <w:t xml:space="preserve">                        </w:t>
      </w:r>
      <w:r w:rsidR="00A34DD7" w:rsidRPr="00E0246F">
        <w:rPr>
          <w:rFonts w:cstheme="minorHAnsi"/>
        </w:rPr>
        <w:t xml:space="preserve"> </w:t>
      </w:r>
      <w:r w:rsidR="00BC2889" w:rsidRPr="00E0246F">
        <w:rPr>
          <w:rFonts w:cstheme="minorHAnsi"/>
        </w:rPr>
        <w:t xml:space="preserve">i współuzależnienia od alkoholu oraz </w:t>
      </w:r>
      <w:r w:rsidR="00A34DD7" w:rsidRPr="00E0246F">
        <w:rPr>
          <w:rFonts w:cstheme="minorHAnsi"/>
        </w:rPr>
        <w:t xml:space="preserve"> leczenie uzależnień stacjonarne</w:t>
      </w:r>
      <w:r w:rsidR="00C77639" w:rsidRPr="00E0246F">
        <w:rPr>
          <w:rFonts w:cstheme="minorHAnsi"/>
        </w:rPr>
        <w:t>.</w:t>
      </w:r>
      <w:r w:rsidR="00BC2889" w:rsidRPr="00E0246F">
        <w:rPr>
          <w:rFonts w:cstheme="minorHAnsi"/>
        </w:rPr>
        <w:t xml:space="preserve">  Konieczne jest monitorowanie ilości świadczeń, w szczególności usprawnienie rekrutacji pacj</w:t>
      </w:r>
      <w:r w:rsidRPr="00E0246F">
        <w:rPr>
          <w:rFonts w:cstheme="minorHAnsi"/>
        </w:rPr>
        <w:t>entów na leczenie stacjo</w:t>
      </w:r>
      <w:r w:rsidR="00BC2889" w:rsidRPr="00E0246F">
        <w:rPr>
          <w:rFonts w:cstheme="minorHAnsi"/>
        </w:rPr>
        <w:t xml:space="preserve">narne w celu </w:t>
      </w:r>
      <w:r w:rsidRPr="00E0246F">
        <w:rPr>
          <w:rFonts w:cstheme="minorHAnsi"/>
        </w:rPr>
        <w:t xml:space="preserve">wypracowania świadczeń ponad wartość bieżącego kontraktu, co powinno skutkować </w:t>
      </w:r>
      <w:r>
        <w:rPr>
          <w:rFonts w:cstheme="minorHAnsi"/>
        </w:rPr>
        <w:t>zwiększeniem wartości umowy</w:t>
      </w:r>
      <w:r w:rsidRPr="00E0246F">
        <w:rPr>
          <w:rFonts w:cstheme="minorHAnsi"/>
        </w:rPr>
        <w:t xml:space="preserve"> na kolejne lata.</w:t>
      </w:r>
      <w:r w:rsidR="00BC2889" w:rsidRPr="00E0246F">
        <w:rPr>
          <w:rFonts w:cstheme="minorHAnsi"/>
        </w:rPr>
        <w:t xml:space="preserve"> </w:t>
      </w:r>
    </w:p>
    <w:p w:rsidR="00533418" w:rsidRDefault="002F0E2D" w:rsidP="009F1F03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 w:rsidRPr="009F1F03">
        <w:rPr>
          <w:rFonts w:cstheme="minorHAnsi"/>
        </w:rPr>
        <w:t>Placówka planuje także kontynuować współpracę z Gminą Miastem Rzeszów w zakresie realizacji</w:t>
      </w:r>
      <w:r w:rsidR="00C77639" w:rsidRPr="009F1F03">
        <w:rPr>
          <w:rFonts w:cstheme="minorHAnsi"/>
        </w:rPr>
        <w:t xml:space="preserve"> zadań</w:t>
      </w:r>
      <w:r w:rsidR="00EF2B22">
        <w:rPr>
          <w:rFonts w:cstheme="minorHAnsi"/>
        </w:rPr>
        <w:t xml:space="preserve"> </w:t>
      </w:r>
      <w:r w:rsidR="00D21592" w:rsidRPr="009F1F03">
        <w:rPr>
          <w:rFonts w:cstheme="minorHAnsi"/>
        </w:rPr>
        <w:t>zawartych</w:t>
      </w:r>
      <w:r w:rsidR="00DB3B83" w:rsidRPr="009F1F03">
        <w:rPr>
          <w:rFonts w:cstheme="minorHAnsi"/>
        </w:rPr>
        <w:t xml:space="preserve"> w M</w:t>
      </w:r>
      <w:r w:rsidR="004B466E" w:rsidRPr="009F1F03">
        <w:rPr>
          <w:rFonts w:cstheme="minorHAnsi"/>
        </w:rPr>
        <w:t xml:space="preserve">iejskim </w:t>
      </w:r>
      <w:r w:rsidR="00DB3B83" w:rsidRPr="009F1F03">
        <w:rPr>
          <w:rFonts w:cstheme="minorHAnsi"/>
        </w:rPr>
        <w:t>P</w:t>
      </w:r>
      <w:r w:rsidR="004B466E" w:rsidRPr="009F1F03">
        <w:rPr>
          <w:rFonts w:cstheme="minorHAnsi"/>
        </w:rPr>
        <w:t xml:space="preserve">rogramie </w:t>
      </w:r>
      <w:r w:rsidR="00DB3B83" w:rsidRPr="009F1F03">
        <w:rPr>
          <w:rFonts w:cstheme="minorHAnsi"/>
        </w:rPr>
        <w:t>R</w:t>
      </w:r>
      <w:r w:rsidR="004B466E" w:rsidRPr="009F1F03">
        <w:rPr>
          <w:rFonts w:cstheme="minorHAnsi"/>
        </w:rPr>
        <w:t xml:space="preserve">ozwiązywania  </w:t>
      </w:r>
      <w:r w:rsidR="00DB3B83" w:rsidRPr="009F1F03">
        <w:rPr>
          <w:rFonts w:cstheme="minorHAnsi"/>
        </w:rPr>
        <w:t>P</w:t>
      </w:r>
      <w:r w:rsidR="004B466E" w:rsidRPr="009F1F03">
        <w:rPr>
          <w:rFonts w:cstheme="minorHAnsi"/>
        </w:rPr>
        <w:t xml:space="preserve">roblemów </w:t>
      </w:r>
      <w:r w:rsidR="00DB3B83" w:rsidRPr="009F1F03">
        <w:rPr>
          <w:rFonts w:cstheme="minorHAnsi"/>
        </w:rPr>
        <w:t>A</w:t>
      </w:r>
      <w:r w:rsidR="00E71060" w:rsidRPr="009F1F03">
        <w:rPr>
          <w:rFonts w:cstheme="minorHAnsi"/>
        </w:rPr>
        <w:t>lkoholowych</w:t>
      </w:r>
      <w:r w:rsidR="00DE1F4D" w:rsidRPr="009F1F03">
        <w:rPr>
          <w:rFonts w:cstheme="minorHAnsi"/>
        </w:rPr>
        <w:t xml:space="preserve"> </w:t>
      </w:r>
      <w:r w:rsidR="009F1F03">
        <w:rPr>
          <w:rFonts w:cstheme="minorHAnsi"/>
        </w:rPr>
        <w:t xml:space="preserve">                   </w:t>
      </w:r>
      <w:r w:rsidR="00026E22" w:rsidRPr="009F1F03">
        <w:rPr>
          <w:rFonts w:cstheme="minorHAnsi"/>
        </w:rPr>
        <w:t xml:space="preserve">i </w:t>
      </w:r>
      <w:r w:rsidR="00DB3B83" w:rsidRPr="009F1F03">
        <w:rPr>
          <w:rFonts w:cstheme="minorHAnsi"/>
        </w:rPr>
        <w:t>P</w:t>
      </w:r>
      <w:r w:rsidRPr="009F1F03">
        <w:rPr>
          <w:rFonts w:cstheme="minorHAnsi"/>
        </w:rPr>
        <w:t>rzeciwdziałania Narkomanii</w:t>
      </w:r>
      <w:r w:rsidR="00AA3357" w:rsidRPr="009F1F03">
        <w:rPr>
          <w:rFonts w:cstheme="minorHAnsi"/>
        </w:rPr>
        <w:t xml:space="preserve">. Uzyskiwane dotacje </w:t>
      </w:r>
      <w:r w:rsidR="009F1F03" w:rsidRPr="009F1F03">
        <w:rPr>
          <w:rFonts w:cstheme="minorHAnsi"/>
        </w:rPr>
        <w:t xml:space="preserve">pozwolą na  pokrycie kosztów planowanych w tym </w:t>
      </w:r>
      <w:r w:rsidR="009F1F03" w:rsidRPr="009F1F03">
        <w:rPr>
          <w:rFonts w:cstheme="minorHAnsi"/>
        </w:rPr>
        <w:lastRenderedPageBreak/>
        <w:t>zakresie zadań</w:t>
      </w:r>
      <w:r w:rsidRPr="009F1F03">
        <w:rPr>
          <w:rFonts w:cstheme="minorHAnsi"/>
        </w:rPr>
        <w:t xml:space="preserve">. </w:t>
      </w:r>
      <w:r w:rsidR="009F1F03">
        <w:rPr>
          <w:rFonts w:cstheme="minorHAnsi"/>
        </w:rPr>
        <w:t xml:space="preserve">Zapotrzebowanie na udzielane świadczenia, szczególnie z zakresu profilaktyki </w:t>
      </w:r>
      <w:r w:rsidR="004A0984">
        <w:rPr>
          <w:rFonts w:cstheme="minorHAnsi"/>
        </w:rPr>
        <w:t>pozostaje na wysokim poziomie.</w:t>
      </w:r>
    </w:p>
    <w:p w:rsidR="009F1F03" w:rsidRDefault="009F1F03" w:rsidP="009F1F03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2022 r. SP ZOZ CLU włączył się w realizację programu </w:t>
      </w:r>
      <w:r w:rsidR="00F939D6" w:rsidRPr="00F939D6">
        <w:rPr>
          <w:rFonts w:cstheme="minorHAnsi"/>
        </w:rPr>
        <w:t>wspierania potrzeb dzieci i rodzin uchodźców w Polsce</w:t>
      </w:r>
      <w:r w:rsidR="00F939D6">
        <w:rPr>
          <w:rFonts w:cstheme="minorHAnsi"/>
        </w:rPr>
        <w:t xml:space="preserve">. Placówka planuje </w:t>
      </w:r>
      <w:r w:rsidR="009652FA">
        <w:rPr>
          <w:rFonts w:cstheme="minorHAnsi"/>
        </w:rPr>
        <w:t>realizować</w:t>
      </w:r>
      <w:r w:rsidR="00E54882">
        <w:rPr>
          <w:rFonts w:cstheme="minorHAnsi"/>
        </w:rPr>
        <w:t xml:space="preserve"> program także </w:t>
      </w:r>
      <w:r w:rsidR="00724D72">
        <w:rPr>
          <w:rFonts w:cstheme="minorHAnsi"/>
        </w:rPr>
        <w:t>w roku 2023, dalsze ewentualne</w:t>
      </w:r>
      <w:r w:rsidR="009652FA">
        <w:rPr>
          <w:rFonts w:cstheme="minorHAnsi"/>
        </w:rPr>
        <w:t xml:space="preserve"> </w:t>
      </w:r>
      <w:r w:rsidR="00724D72">
        <w:rPr>
          <w:rFonts w:cstheme="minorHAnsi"/>
        </w:rPr>
        <w:t>prowadzenie</w:t>
      </w:r>
      <w:r w:rsidR="009652FA">
        <w:rPr>
          <w:rFonts w:cstheme="minorHAnsi"/>
        </w:rPr>
        <w:t xml:space="preserve"> </w:t>
      </w:r>
      <w:r w:rsidR="00E54882">
        <w:rPr>
          <w:rFonts w:cstheme="minorHAnsi"/>
        </w:rPr>
        <w:t>działań</w:t>
      </w:r>
      <w:r w:rsidR="00724D72">
        <w:rPr>
          <w:rFonts w:cstheme="minorHAnsi"/>
        </w:rPr>
        <w:t xml:space="preserve"> w tym zakresie</w:t>
      </w:r>
      <w:r w:rsidR="00E54882">
        <w:rPr>
          <w:rFonts w:cstheme="minorHAnsi"/>
        </w:rPr>
        <w:t xml:space="preserve"> </w:t>
      </w:r>
      <w:r w:rsidR="00724D72">
        <w:rPr>
          <w:rFonts w:cstheme="minorHAnsi"/>
        </w:rPr>
        <w:t>uzależnione</w:t>
      </w:r>
      <w:r w:rsidR="009652FA">
        <w:rPr>
          <w:rFonts w:cstheme="minorHAnsi"/>
        </w:rPr>
        <w:t xml:space="preserve"> jest od dostępności fi</w:t>
      </w:r>
      <w:r w:rsidR="00E54882">
        <w:rPr>
          <w:rFonts w:cstheme="minorHAnsi"/>
        </w:rPr>
        <w:t>nansowania zewnętrznego</w:t>
      </w:r>
      <w:r w:rsidR="009652FA">
        <w:rPr>
          <w:rFonts w:cstheme="minorHAnsi"/>
        </w:rPr>
        <w:t>.</w:t>
      </w:r>
    </w:p>
    <w:p w:rsidR="00003F77" w:rsidRPr="009F1F03" w:rsidRDefault="00003F77" w:rsidP="009F1F03">
      <w:pPr>
        <w:shd w:val="clear" w:color="auto" w:fill="FFFFFF" w:themeFill="background1"/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</w:p>
    <w:p w:rsidR="00903DDB" w:rsidRPr="00EF2B22" w:rsidRDefault="005B3282" w:rsidP="005B3282">
      <w:pPr>
        <w:shd w:val="clear" w:color="auto" w:fill="FFFFFF" w:themeFill="background1"/>
        <w:spacing w:after="0" w:line="276" w:lineRule="auto"/>
        <w:ind w:firstLine="708"/>
        <w:jc w:val="both"/>
      </w:pPr>
      <w:r w:rsidRPr="00EF2B22">
        <w:t xml:space="preserve">Jak wynika z przedstawionej analizy, SP ZOZ Centrum Leczenia Uzależnień, będzie kontynuował działalność na dotychczasowym poziomie świadcząc swoje usługi dla mieszkańców miasta Rzeszowa </w:t>
      </w:r>
      <w:r w:rsidR="00EF2B22">
        <w:t xml:space="preserve">              </w:t>
      </w:r>
      <w:r w:rsidRPr="00EF2B22">
        <w:t xml:space="preserve">i okolic. Zakład utrzymuje dobrą renomę, posiada wyspecjalizowaną kadrę i potrzebne zasoby do kontynuowania działalności. Placówka </w:t>
      </w:r>
      <w:r w:rsidR="004A0984">
        <w:t>dysponuje środkami finansowymi</w:t>
      </w:r>
      <w:r w:rsidRPr="00EF2B22">
        <w:t xml:space="preserve"> </w:t>
      </w:r>
      <w:r w:rsidR="00903DDB" w:rsidRPr="00EF2B22">
        <w:t>zapewniając</w:t>
      </w:r>
      <w:r w:rsidR="004A0984">
        <w:t>ymi</w:t>
      </w:r>
      <w:r w:rsidR="00903DDB" w:rsidRPr="00EF2B22">
        <w:t xml:space="preserve"> zarówno</w:t>
      </w:r>
      <w:r w:rsidR="004B3FB4" w:rsidRPr="00EF2B22">
        <w:t xml:space="preserve"> </w:t>
      </w:r>
      <w:r w:rsidR="00903DDB" w:rsidRPr="00EF2B22">
        <w:t>bieżą</w:t>
      </w:r>
      <w:r w:rsidRPr="00EF2B22">
        <w:t>ce funkcjonowanie</w:t>
      </w:r>
      <w:r w:rsidR="00903DDB" w:rsidRPr="00EF2B22">
        <w:t xml:space="preserve"> jak i planowane</w:t>
      </w:r>
      <w:r w:rsidRPr="00EF2B22">
        <w:t xml:space="preserve"> </w:t>
      </w:r>
      <w:r w:rsidR="004B3FB4" w:rsidRPr="00EF2B22">
        <w:t xml:space="preserve">w przyszłości drobne remonty i zakupy inwestycyjne, </w:t>
      </w:r>
      <w:r w:rsidR="00903DDB" w:rsidRPr="00EF2B22">
        <w:t>mające na celu poprawę jakości udzielanych świadczeń oraz dalszy</w:t>
      </w:r>
      <w:r w:rsidRPr="00EF2B22">
        <w:t>,</w:t>
      </w:r>
      <w:r w:rsidR="00903DDB" w:rsidRPr="00EF2B22">
        <w:t xml:space="preserve"> </w:t>
      </w:r>
      <w:r w:rsidRPr="00EF2B22">
        <w:t xml:space="preserve">stabilny </w:t>
      </w:r>
      <w:r w:rsidR="00903DDB" w:rsidRPr="00EF2B22">
        <w:t>rozwó</w:t>
      </w:r>
      <w:r w:rsidR="004B3FB4" w:rsidRPr="00EF2B22">
        <w:t>j</w:t>
      </w:r>
      <w:r w:rsidR="00903DDB" w:rsidRPr="00EF2B22">
        <w:t>.</w:t>
      </w:r>
      <w:r w:rsidRPr="00EF2B22">
        <w:t xml:space="preserve"> Znaczący rozwój działalności placówki wymagałby jednak inwestycji ze strony podmiotu tworzącego.</w:t>
      </w:r>
    </w:p>
    <w:p w:rsidR="005B3282" w:rsidRPr="00EF2B22" w:rsidRDefault="00B47E22" w:rsidP="005B3282">
      <w:pPr>
        <w:shd w:val="clear" w:color="auto" w:fill="FFFFFF" w:themeFill="background1"/>
        <w:spacing w:after="0" w:line="276" w:lineRule="auto"/>
        <w:ind w:firstLine="708"/>
        <w:jc w:val="both"/>
      </w:pPr>
      <w:r w:rsidRPr="00EF2B22">
        <w:t xml:space="preserve">Pomimo stabilnej </w:t>
      </w:r>
      <w:r w:rsidR="004A0984">
        <w:t>sytuacji</w:t>
      </w:r>
      <w:r w:rsidRPr="00EF2B22">
        <w:t xml:space="preserve"> finansowej, z uwagi n</w:t>
      </w:r>
      <w:r w:rsidR="00003F77" w:rsidRPr="00EF2B22">
        <w:t>a wymienione wcześniej czynniki</w:t>
      </w:r>
      <w:r w:rsidRPr="00EF2B22">
        <w:t xml:space="preserve"> oraz </w:t>
      </w:r>
      <w:r w:rsidR="00003F77" w:rsidRPr="00EF2B22">
        <w:t>potrzebę</w:t>
      </w:r>
      <w:r w:rsidRPr="00EF2B22">
        <w:t xml:space="preserve"> inwestycji w istniejącą infrastrukturę, należy kontynuować oszczędną politykę kosztową</w:t>
      </w:r>
      <w:r w:rsidR="00EF2B22">
        <w:t xml:space="preserve"> </w:t>
      </w:r>
      <w:r w:rsidRPr="00EF2B22">
        <w:t xml:space="preserve">i ciągły monitoring </w:t>
      </w:r>
      <w:r w:rsidR="00003F77" w:rsidRPr="00EF2B22">
        <w:t xml:space="preserve">poziomu </w:t>
      </w:r>
      <w:r w:rsidRPr="00EF2B22">
        <w:t xml:space="preserve">wykonywanych świadczeń. </w:t>
      </w:r>
      <w:bookmarkStart w:id="0" w:name="_GoBack"/>
      <w:bookmarkEnd w:id="0"/>
    </w:p>
    <w:p w:rsidR="0091039A" w:rsidRDefault="0091039A" w:rsidP="003B3D46">
      <w:pPr>
        <w:rPr>
          <w:rFonts w:cstheme="minorHAnsi"/>
          <w:color w:val="FF0000"/>
          <w:sz w:val="24"/>
          <w:szCs w:val="24"/>
        </w:rPr>
      </w:pPr>
      <w:r w:rsidRPr="001F662E">
        <w:rPr>
          <w:rFonts w:cstheme="minorHAnsi"/>
          <w:color w:val="FF0000"/>
          <w:sz w:val="24"/>
          <w:szCs w:val="24"/>
        </w:rPr>
        <w:tab/>
      </w:r>
      <w:r w:rsidRPr="001F662E">
        <w:rPr>
          <w:rFonts w:cstheme="minorHAnsi"/>
          <w:color w:val="FF0000"/>
          <w:sz w:val="24"/>
          <w:szCs w:val="24"/>
        </w:rPr>
        <w:tab/>
      </w:r>
      <w:r w:rsidRPr="001F662E">
        <w:rPr>
          <w:rFonts w:cstheme="minorHAnsi"/>
          <w:color w:val="FF0000"/>
          <w:sz w:val="24"/>
          <w:szCs w:val="24"/>
        </w:rPr>
        <w:tab/>
      </w:r>
      <w:r w:rsidRPr="001F662E">
        <w:rPr>
          <w:rFonts w:cstheme="minorHAnsi"/>
          <w:color w:val="FF0000"/>
          <w:sz w:val="24"/>
          <w:szCs w:val="24"/>
        </w:rPr>
        <w:tab/>
        <w:t xml:space="preserve"> </w:t>
      </w:r>
      <w:r w:rsidRPr="001F662E">
        <w:rPr>
          <w:rFonts w:cstheme="minorHAnsi"/>
          <w:color w:val="FF0000"/>
          <w:sz w:val="24"/>
          <w:szCs w:val="24"/>
        </w:rPr>
        <w:tab/>
      </w:r>
      <w:r w:rsidRPr="001F662E">
        <w:rPr>
          <w:rFonts w:cstheme="minorHAnsi"/>
          <w:color w:val="FF0000"/>
          <w:sz w:val="24"/>
          <w:szCs w:val="24"/>
        </w:rPr>
        <w:tab/>
      </w:r>
      <w:r w:rsidRPr="001F662E">
        <w:rPr>
          <w:rFonts w:cstheme="minorHAnsi"/>
          <w:color w:val="FF0000"/>
          <w:sz w:val="24"/>
          <w:szCs w:val="24"/>
        </w:rPr>
        <w:tab/>
      </w:r>
    </w:p>
    <w:sectPr w:rsidR="0091039A" w:rsidSect="00AB33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276" w:bottom="51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246" w:rsidRDefault="00D96246" w:rsidP="008F6CD9">
      <w:pPr>
        <w:spacing w:after="0" w:line="240" w:lineRule="auto"/>
      </w:pPr>
      <w:r>
        <w:separator/>
      </w:r>
    </w:p>
  </w:endnote>
  <w:endnote w:type="continuationSeparator" w:id="0">
    <w:p w:rsidR="00D96246" w:rsidRDefault="00D96246" w:rsidP="008F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246" w:rsidRDefault="00D96246" w:rsidP="008F6CD9">
      <w:pPr>
        <w:spacing w:after="0" w:line="240" w:lineRule="auto"/>
      </w:pPr>
      <w:r>
        <w:separator/>
      </w:r>
    </w:p>
  </w:footnote>
  <w:footnote w:type="continuationSeparator" w:id="0">
    <w:p w:rsidR="00D96246" w:rsidRDefault="00D96246" w:rsidP="008F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390" w:rsidRDefault="00AB33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9C0"/>
    <w:multiLevelType w:val="hybridMultilevel"/>
    <w:tmpl w:val="8F043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3BF3"/>
    <w:multiLevelType w:val="hybridMultilevel"/>
    <w:tmpl w:val="1C7E7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9C37AD"/>
    <w:multiLevelType w:val="hybridMultilevel"/>
    <w:tmpl w:val="6C40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74DDA"/>
    <w:multiLevelType w:val="hybridMultilevel"/>
    <w:tmpl w:val="3384B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E2D3D"/>
    <w:multiLevelType w:val="hybridMultilevel"/>
    <w:tmpl w:val="71FAF2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F1CFC"/>
    <w:multiLevelType w:val="hybridMultilevel"/>
    <w:tmpl w:val="B25876FC"/>
    <w:lvl w:ilvl="0" w:tplc="1536F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0454B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76B90"/>
    <w:multiLevelType w:val="hybridMultilevel"/>
    <w:tmpl w:val="9DBA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E6992"/>
    <w:multiLevelType w:val="hybridMultilevel"/>
    <w:tmpl w:val="EC088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15C6C"/>
    <w:multiLevelType w:val="hybridMultilevel"/>
    <w:tmpl w:val="81389F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E95232B"/>
    <w:multiLevelType w:val="hybridMultilevel"/>
    <w:tmpl w:val="E66EC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81C38"/>
    <w:multiLevelType w:val="hybridMultilevel"/>
    <w:tmpl w:val="A7D64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449A6"/>
    <w:multiLevelType w:val="hybridMultilevel"/>
    <w:tmpl w:val="44584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A25F9"/>
    <w:multiLevelType w:val="hybridMultilevel"/>
    <w:tmpl w:val="AE5EDAEC"/>
    <w:lvl w:ilvl="0" w:tplc="CC10F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F910B8"/>
    <w:multiLevelType w:val="hybridMultilevel"/>
    <w:tmpl w:val="9FFC2C44"/>
    <w:lvl w:ilvl="0" w:tplc="FAA8A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206F6"/>
    <w:multiLevelType w:val="hybridMultilevel"/>
    <w:tmpl w:val="77044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533FEC"/>
    <w:multiLevelType w:val="multilevel"/>
    <w:tmpl w:val="0A06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327757"/>
    <w:multiLevelType w:val="hybridMultilevel"/>
    <w:tmpl w:val="55262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55419"/>
    <w:multiLevelType w:val="hybridMultilevel"/>
    <w:tmpl w:val="212614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35666E"/>
    <w:multiLevelType w:val="hybridMultilevel"/>
    <w:tmpl w:val="D3EA5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E44746"/>
    <w:multiLevelType w:val="hybridMultilevel"/>
    <w:tmpl w:val="1C42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D7B30"/>
    <w:multiLevelType w:val="hybridMultilevel"/>
    <w:tmpl w:val="7332C1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A46B5B"/>
    <w:multiLevelType w:val="hybridMultilevel"/>
    <w:tmpl w:val="AAC24D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4E4299"/>
    <w:multiLevelType w:val="hybridMultilevel"/>
    <w:tmpl w:val="5DF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77838"/>
    <w:multiLevelType w:val="hybridMultilevel"/>
    <w:tmpl w:val="73C23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F24018"/>
    <w:multiLevelType w:val="hybridMultilevel"/>
    <w:tmpl w:val="1DA834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1"/>
  </w:num>
  <w:num w:numId="5">
    <w:abstractNumId w:val="12"/>
  </w:num>
  <w:num w:numId="6">
    <w:abstractNumId w:val="22"/>
  </w:num>
  <w:num w:numId="7">
    <w:abstractNumId w:val="21"/>
  </w:num>
  <w:num w:numId="8">
    <w:abstractNumId w:val="8"/>
  </w:num>
  <w:num w:numId="9">
    <w:abstractNumId w:val="15"/>
  </w:num>
  <w:num w:numId="10">
    <w:abstractNumId w:val="23"/>
  </w:num>
  <w:num w:numId="11">
    <w:abstractNumId w:val="10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0"/>
  </w:num>
  <w:num w:numId="21">
    <w:abstractNumId w:val="18"/>
  </w:num>
  <w:num w:numId="22">
    <w:abstractNumId w:val="25"/>
  </w:num>
  <w:num w:numId="23">
    <w:abstractNumId w:val="1"/>
  </w:num>
  <w:num w:numId="24">
    <w:abstractNumId w:val="4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5F"/>
    <w:rsid w:val="000023B6"/>
    <w:rsid w:val="00003204"/>
    <w:rsid w:val="00003F77"/>
    <w:rsid w:val="000131E8"/>
    <w:rsid w:val="00016FC0"/>
    <w:rsid w:val="000172BB"/>
    <w:rsid w:val="0002529A"/>
    <w:rsid w:val="00026E22"/>
    <w:rsid w:val="0003264A"/>
    <w:rsid w:val="00032BB1"/>
    <w:rsid w:val="0003704F"/>
    <w:rsid w:val="0004316C"/>
    <w:rsid w:val="00043DE1"/>
    <w:rsid w:val="000509DA"/>
    <w:rsid w:val="000549A9"/>
    <w:rsid w:val="00054E68"/>
    <w:rsid w:val="00056B1B"/>
    <w:rsid w:val="00062607"/>
    <w:rsid w:val="00062A0E"/>
    <w:rsid w:val="000659E1"/>
    <w:rsid w:val="000675EC"/>
    <w:rsid w:val="00067804"/>
    <w:rsid w:val="00070A60"/>
    <w:rsid w:val="00071D6C"/>
    <w:rsid w:val="00077667"/>
    <w:rsid w:val="00084691"/>
    <w:rsid w:val="00084AEC"/>
    <w:rsid w:val="000A1861"/>
    <w:rsid w:val="000A5887"/>
    <w:rsid w:val="000B0118"/>
    <w:rsid w:val="000B21FD"/>
    <w:rsid w:val="000C3D84"/>
    <w:rsid w:val="000C62D1"/>
    <w:rsid w:val="000C77DC"/>
    <w:rsid w:val="000C78A6"/>
    <w:rsid w:val="000D10B9"/>
    <w:rsid w:val="000D32A9"/>
    <w:rsid w:val="000D7895"/>
    <w:rsid w:val="000E49E1"/>
    <w:rsid w:val="000F2C52"/>
    <w:rsid w:val="000F3B40"/>
    <w:rsid w:val="00104422"/>
    <w:rsid w:val="0010445A"/>
    <w:rsid w:val="00113AC6"/>
    <w:rsid w:val="00115CC1"/>
    <w:rsid w:val="00116D55"/>
    <w:rsid w:val="00117F99"/>
    <w:rsid w:val="001216C1"/>
    <w:rsid w:val="0012378A"/>
    <w:rsid w:val="001242EE"/>
    <w:rsid w:val="00130954"/>
    <w:rsid w:val="001432B6"/>
    <w:rsid w:val="00145A21"/>
    <w:rsid w:val="00152D5F"/>
    <w:rsid w:val="00162524"/>
    <w:rsid w:val="00163837"/>
    <w:rsid w:val="00166344"/>
    <w:rsid w:val="00166D36"/>
    <w:rsid w:val="0016783A"/>
    <w:rsid w:val="001716EC"/>
    <w:rsid w:val="00171ADF"/>
    <w:rsid w:val="00171B96"/>
    <w:rsid w:val="0017260E"/>
    <w:rsid w:val="0017597A"/>
    <w:rsid w:val="00175B74"/>
    <w:rsid w:val="001813F0"/>
    <w:rsid w:val="00182258"/>
    <w:rsid w:val="00182665"/>
    <w:rsid w:val="00182E2C"/>
    <w:rsid w:val="001859B5"/>
    <w:rsid w:val="00186805"/>
    <w:rsid w:val="00190B8D"/>
    <w:rsid w:val="0019192E"/>
    <w:rsid w:val="00193498"/>
    <w:rsid w:val="001937A7"/>
    <w:rsid w:val="00195713"/>
    <w:rsid w:val="00195F5D"/>
    <w:rsid w:val="001A1D60"/>
    <w:rsid w:val="001A3793"/>
    <w:rsid w:val="001A542F"/>
    <w:rsid w:val="001A67DE"/>
    <w:rsid w:val="001B11A0"/>
    <w:rsid w:val="001B2643"/>
    <w:rsid w:val="001B4D35"/>
    <w:rsid w:val="001C0997"/>
    <w:rsid w:val="001C296A"/>
    <w:rsid w:val="001C5B14"/>
    <w:rsid w:val="001D504D"/>
    <w:rsid w:val="001D6EDA"/>
    <w:rsid w:val="001D761E"/>
    <w:rsid w:val="001E3506"/>
    <w:rsid w:val="001E49F0"/>
    <w:rsid w:val="001E6963"/>
    <w:rsid w:val="001F6574"/>
    <w:rsid w:val="001F662E"/>
    <w:rsid w:val="00201354"/>
    <w:rsid w:val="00204C3B"/>
    <w:rsid w:val="00204D37"/>
    <w:rsid w:val="0020570B"/>
    <w:rsid w:val="00210C34"/>
    <w:rsid w:val="0021472E"/>
    <w:rsid w:val="0022028F"/>
    <w:rsid w:val="00221745"/>
    <w:rsid w:val="00230DC9"/>
    <w:rsid w:val="00232303"/>
    <w:rsid w:val="00233F4E"/>
    <w:rsid w:val="00236014"/>
    <w:rsid w:val="0024239E"/>
    <w:rsid w:val="0024282B"/>
    <w:rsid w:val="00242BB0"/>
    <w:rsid w:val="0024353C"/>
    <w:rsid w:val="002442E0"/>
    <w:rsid w:val="0024556F"/>
    <w:rsid w:val="00251C42"/>
    <w:rsid w:val="00253D69"/>
    <w:rsid w:val="00257059"/>
    <w:rsid w:val="0025766D"/>
    <w:rsid w:val="00262537"/>
    <w:rsid w:val="002635DD"/>
    <w:rsid w:val="00264E81"/>
    <w:rsid w:val="002658AB"/>
    <w:rsid w:val="0026753F"/>
    <w:rsid w:val="002715DC"/>
    <w:rsid w:val="002718F2"/>
    <w:rsid w:val="00280677"/>
    <w:rsid w:val="00281521"/>
    <w:rsid w:val="002876EB"/>
    <w:rsid w:val="002A0D15"/>
    <w:rsid w:val="002A2B57"/>
    <w:rsid w:val="002A6617"/>
    <w:rsid w:val="002A78C1"/>
    <w:rsid w:val="002B0C57"/>
    <w:rsid w:val="002B3E2B"/>
    <w:rsid w:val="002B5CE3"/>
    <w:rsid w:val="002B641D"/>
    <w:rsid w:val="002C541A"/>
    <w:rsid w:val="002C7425"/>
    <w:rsid w:val="002D315E"/>
    <w:rsid w:val="002D61A8"/>
    <w:rsid w:val="002E0429"/>
    <w:rsid w:val="002E2242"/>
    <w:rsid w:val="002E265F"/>
    <w:rsid w:val="002E2BD8"/>
    <w:rsid w:val="002E3E98"/>
    <w:rsid w:val="002F0E2D"/>
    <w:rsid w:val="002F31E9"/>
    <w:rsid w:val="002F4E00"/>
    <w:rsid w:val="00300464"/>
    <w:rsid w:val="00301F00"/>
    <w:rsid w:val="00302D1A"/>
    <w:rsid w:val="0030375C"/>
    <w:rsid w:val="003118E4"/>
    <w:rsid w:val="00311F5A"/>
    <w:rsid w:val="00317624"/>
    <w:rsid w:val="00324F49"/>
    <w:rsid w:val="00330D55"/>
    <w:rsid w:val="00332FBF"/>
    <w:rsid w:val="00334B7C"/>
    <w:rsid w:val="003379AA"/>
    <w:rsid w:val="00340B24"/>
    <w:rsid w:val="00341F60"/>
    <w:rsid w:val="0034796A"/>
    <w:rsid w:val="00350BF1"/>
    <w:rsid w:val="00351AFE"/>
    <w:rsid w:val="00360FE1"/>
    <w:rsid w:val="00363296"/>
    <w:rsid w:val="0036468C"/>
    <w:rsid w:val="00367454"/>
    <w:rsid w:val="00370FAA"/>
    <w:rsid w:val="00371B7D"/>
    <w:rsid w:val="003764E8"/>
    <w:rsid w:val="003769B2"/>
    <w:rsid w:val="00397D7B"/>
    <w:rsid w:val="003A1C42"/>
    <w:rsid w:val="003A5178"/>
    <w:rsid w:val="003A7537"/>
    <w:rsid w:val="003A7F06"/>
    <w:rsid w:val="003B3D46"/>
    <w:rsid w:val="003B4D77"/>
    <w:rsid w:val="003C2A52"/>
    <w:rsid w:val="003C355B"/>
    <w:rsid w:val="003C37CF"/>
    <w:rsid w:val="003C3E38"/>
    <w:rsid w:val="003C6301"/>
    <w:rsid w:val="003D2346"/>
    <w:rsid w:val="003D50E5"/>
    <w:rsid w:val="003D5E3A"/>
    <w:rsid w:val="003E7C53"/>
    <w:rsid w:val="004035CF"/>
    <w:rsid w:val="00404D63"/>
    <w:rsid w:val="00405C98"/>
    <w:rsid w:val="00410BD3"/>
    <w:rsid w:val="004156A2"/>
    <w:rsid w:val="00422001"/>
    <w:rsid w:val="00423B15"/>
    <w:rsid w:val="00424366"/>
    <w:rsid w:val="00425EFF"/>
    <w:rsid w:val="00426334"/>
    <w:rsid w:val="004266F8"/>
    <w:rsid w:val="004322CF"/>
    <w:rsid w:val="0043418F"/>
    <w:rsid w:val="00435B91"/>
    <w:rsid w:val="00450AD1"/>
    <w:rsid w:val="00452540"/>
    <w:rsid w:val="00454946"/>
    <w:rsid w:val="00457E1D"/>
    <w:rsid w:val="0046446E"/>
    <w:rsid w:val="00464DB8"/>
    <w:rsid w:val="00465421"/>
    <w:rsid w:val="004668EB"/>
    <w:rsid w:val="00467203"/>
    <w:rsid w:val="00471277"/>
    <w:rsid w:val="00471506"/>
    <w:rsid w:val="004719BD"/>
    <w:rsid w:val="00473FD8"/>
    <w:rsid w:val="004775D7"/>
    <w:rsid w:val="004778F3"/>
    <w:rsid w:val="004841F2"/>
    <w:rsid w:val="00485009"/>
    <w:rsid w:val="004914D8"/>
    <w:rsid w:val="00492AEE"/>
    <w:rsid w:val="00495304"/>
    <w:rsid w:val="004A0494"/>
    <w:rsid w:val="004A0984"/>
    <w:rsid w:val="004A1BF1"/>
    <w:rsid w:val="004A6740"/>
    <w:rsid w:val="004B00A5"/>
    <w:rsid w:val="004B3FB4"/>
    <w:rsid w:val="004B44F3"/>
    <w:rsid w:val="004B466E"/>
    <w:rsid w:val="004B6B35"/>
    <w:rsid w:val="004C10E8"/>
    <w:rsid w:val="004C2601"/>
    <w:rsid w:val="004C2B85"/>
    <w:rsid w:val="004C3FFF"/>
    <w:rsid w:val="004C717A"/>
    <w:rsid w:val="004D26E3"/>
    <w:rsid w:val="004D41F3"/>
    <w:rsid w:val="004E35AA"/>
    <w:rsid w:val="004E570D"/>
    <w:rsid w:val="004F2DEA"/>
    <w:rsid w:val="004F36D7"/>
    <w:rsid w:val="004F53D0"/>
    <w:rsid w:val="004F7042"/>
    <w:rsid w:val="004F75A9"/>
    <w:rsid w:val="00506DDF"/>
    <w:rsid w:val="00512CE1"/>
    <w:rsid w:val="005134EA"/>
    <w:rsid w:val="005139C4"/>
    <w:rsid w:val="005174C1"/>
    <w:rsid w:val="00520293"/>
    <w:rsid w:val="0052193E"/>
    <w:rsid w:val="0052227D"/>
    <w:rsid w:val="00522F35"/>
    <w:rsid w:val="00527E4E"/>
    <w:rsid w:val="00532C3D"/>
    <w:rsid w:val="00533418"/>
    <w:rsid w:val="00535A8D"/>
    <w:rsid w:val="005435EF"/>
    <w:rsid w:val="00544C2F"/>
    <w:rsid w:val="005466F9"/>
    <w:rsid w:val="0054728E"/>
    <w:rsid w:val="00553D5B"/>
    <w:rsid w:val="00554BC3"/>
    <w:rsid w:val="00562724"/>
    <w:rsid w:val="00563217"/>
    <w:rsid w:val="005635B6"/>
    <w:rsid w:val="00570F32"/>
    <w:rsid w:val="0058035B"/>
    <w:rsid w:val="005830C4"/>
    <w:rsid w:val="00584168"/>
    <w:rsid w:val="005848EA"/>
    <w:rsid w:val="0058796E"/>
    <w:rsid w:val="005941D0"/>
    <w:rsid w:val="005A2F47"/>
    <w:rsid w:val="005A3272"/>
    <w:rsid w:val="005B3282"/>
    <w:rsid w:val="005C4BEA"/>
    <w:rsid w:val="005C5A60"/>
    <w:rsid w:val="005C7755"/>
    <w:rsid w:val="005D0EEF"/>
    <w:rsid w:val="005D53BC"/>
    <w:rsid w:val="005E1632"/>
    <w:rsid w:val="005E18D9"/>
    <w:rsid w:val="005E5F02"/>
    <w:rsid w:val="005F39C6"/>
    <w:rsid w:val="00600893"/>
    <w:rsid w:val="00600A2F"/>
    <w:rsid w:val="0060110E"/>
    <w:rsid w:val="00605912"/>
    <w:rsid w:val="00610F58"/>
    <w:rsid w:val="006119B9"/>
    <w:rsid w:val="006149CD"/>
    <w:rsid w:val="00615543"/>
    <w:rsid w:val="006215C2"/>
    <w:rsid w:val="006238FF"/>
    <w:rsid w:val="00624459"/>
    <w:rsid w:val="006246C1"/>
    <w:rsid w:val="00626E43"/>
    <w:rsid w:val="00627D05"/>
    <w:rsid w:val="006320FF"/>
    <w:rsid w:val="00646D15"/>
    <w:rsid w:val="00651E63"/>
    <w:rsid w:val="0065501A"/>
    <w:rsid w:val="00656DCB"/>
    <w:rsid w:val="00666383"/>
    <w:rsid w:val="00667296"/>
    <w:rsid w:val="0066761F"/>
    <w:rsid w:val="006804A5"/>
    <w:rsid w:val="0069105C"/>
    <w:rsid w:val="006A76FD"/>
    <w:rsid w:val="006B2D47"/>
    <w:rsid w:val="006B5049"/>
    <w:rsid w:val="006C03DC"/>
    <w:rsid w:val="006C1081"/>
    <w:rsid w:val="006D0530"/>
    <w:rsid w:val="006D1774"/>
    <w:rsid w:val="006D1D2A"/>
    <w:rsid w:val="006D245C"/>
    <w:rsid w:val="006D338B"/>
    <w:rsid w:val="006D5A1B"/>
    <w:rsid w:val="006D628D"/>
    <w:rsid w:val="006D6B37"/>
    <w:rsid w:val="006E14A3"/>
    <w:rsid w:val="006E24CE"/>
    <w:rsid w:val="006E2804"/>
    <w:rsid w:val="006E2956"/>
    <w:rsid w:val="006F4D16"/>
    <w:rsid w:val="006F7A24"/>
    <w:rsid w:val="00704522"/>
    <w:rsid w:val="007050A0"/>
    <w:rsid w:val="007055E2"/>
    <w:rsid w:val="0070644C"/>
    <w:rsid w:val="007123DD"/>
    <w:rsid w:val="00713752"/>
    <w:rsid w:val="00715240"/>
    <w:rsid w:val="00720FF7"/>
    <w:rsid w:val="0072113E"/>
    <w:rsid w:val="00724D72"/>
    <w:rsid w:val="0073150F"/>
    <w:rsid w:val="00731653"/>
    <w:rsid w:val="007342D3"/>
    <w:rsid w:val="007349AB"/>
    <w:rsid w:val="0073668D"/>
    <w:rsid w:val="00736B96"/>
    <w:rsid w:val="0074044B"/>
    <w:rsid w:val="0074081C"/>
    <w:rsid w:val="00741018"/>
    <w:rsid w:val="00742AEA"/>
    <w:rsid w:val="007454AB"/>
    <w:rsid w:val="00750D97"/>
    <w:rsid w:val="00750F59"/>
    <w:rsid w:val="007566B6"/>
    <w:rsid w:val="00762021"/>
    <w:rsid w:val="00767628"/>
    <w:rsid w:val="0077060E"/>
    <w:rsid w:val="0077358D"/>
    <w:rsid w:val="00774FA7"/>
    <w:rsid w:val="007800B2"/>
    <w:rsid w:val="00781D67"/>
    <w:rsid w:val="007823FA"/>
    <w:rsid w:val="00782FA7"/>
    <w:rsid w:val="007861FA"/>
    <w:rsid w:val="00787D7B"/>
    <w:rsid w:val="007A32AF"/>
    <w:rsid w:val="007A7E49"/>
    <w:rsid w:val="007B06B4"/>
    <w:rsid w:val="007B1887"/>
    <w:rsid w:val="007B2E2E"/>
    <w:rsid w:val="007B347C"/>
    <w:rsid w:val="007B422A"/>
    <w:rsid w:val="007B643E"/>
    <w:rsid w:val="007B6980"/>
    <w:rsid w:val="007B70EE"/>
    <w:rsid w:val="007B747E"/>
    <w:rsid w:val="007D14D9"/>
    <w:rsid w:val="007D1F67"/>
    <w:rsid w:val="007D6DDB"/>
    <w:rsid w:val="007E40EB"/>
    <w:rsid w:val="007F392A"/>
    <w:rsid w:val="007F563F"/>
    <w:rsid w:val="007F5B24"/>
    <w:rsid w:val="007F6EDF"/>
    <w:rsid w:val="007F7CE4"/>
    <w:rsid w:val="00800AAC"/>
    <w:rsid w:val="00802A6F"/>
    <w:rsid w:val="0080301C"/>
    <w:rsid w:val="0080364C"/>
    <w:rsid w:val="008103B5"/>
    <w:rsid w:val="00816CB5"/>
    <w:rsid w:val="00821E87"/>
    <w:rsid w:val="00822370"/>
    <w:rsid w:val="0082353A"/>
    <w:rsid w:val="00830707"/>
    <w:rsid w:val="00830940"/>
    <w:rsid w:val="0083169A"/>
    <w:rsid w:val="00832070"/>
    <w:rsid w:val="008324C9"/>
    <w:rsid w:val="008325E8"/>
    <w:rsid w:val="008325F8"/>
    <w:rsid w:val="00840854"/>
    <w:rsid w:val="00841963"/>
    <w:rsid w:val="008425E2"/>
    <w:rsid w:val="00844CD8"/>
    <w:rsid w:val="008459C2"/>
    <w:rsid w:val="00845C33"/>
    <w:rsid w:val="00851E2C"/>
    <w:rsid w:val="0085386E"/>
    <w:rsid w:val="00853ACC"/>
    <w:rsid w:val="00856CA3"/>
    <w:rsid w:val="00863E09"/>
    <w:rsid w:val="00865741"/>
    <w:rsid w:val="008732D6"/>
    <w:rsid w:val="0087351C"/>
    <w:rsid w:val="008809CB"/>
    <w:rsid w:val="0088237F"/>
    <w:rsid w:val="00884069"/>
    <w:rsid w:val="00891BC0"/>
    <w:rsid w:val="008A1C95"/>
    <w:rsid w:val="008A4DE3"/>
    <w:rsid w:val="008A503F"/>
    <w:rsid w:val="008A575F"/>
    <w:rsid w:val="008A5BA0"/>
    <w:rsid w:val="008B2B96"/>
    <w:rsid w:val="008B2EDA"/>
    <w:rsid w:val="008B2FD3"/>
    <w:rsid w:val="008B630F"/>
    <w:rsid w:val="008C0F0C"/>
    <w:rsid w:val="008C1766"/>
    <w:rsid w:val="008C27D3"/>
    <w:rsid w:val="008C4F37"/>
    <w:rsid w:val="008D3F36"/>
    <w:rsid w:val="008D4903"/>
    <w:rsid w:val="008D504E"/>
    <w:rsid w:val="008D66FF"/>
    <w:rsid w:val="008E198C"/>
    <w:rsid w:val="008E4599"/>
    <w:rsid w:val="008F236F"/>
    <w:rsid w:val="008F24F3"/>
    <w:rsid w:val="008F6CD9"/>
    <w:rsid w:val="00901DE5"/>
    <w:rsid w:val="0090216B"/>
    <w:rsid w:val="00903167"/>
    <w:rsid w:val="009036D5"/>
    <w:rsid w:val="00903DDB"/>
    <w:rsid w:val="00904823"/>
    <w:rsid w:val="00906FF4"/>
    <w:rsid w:val="00907A1D"/>
    <w:rsid w:val="0091039A"/>
    <w:rsid w:val="009177C0"/>
    <w:rsid w:val="00921706"/>
    <w:rsid w:val="00921A5F"/>
    <w:rsid w:val="00924BC6"/>
    <w:rsid w:val="0092769B"/>
    <w:rsid w:val="00927ECB"/>
    <w:rsid w:val="00930F0A"/>
    <w:rsid w:val="00933B79"/>
    <w:rsid w:val="00936C5F"/>
    <w:rsid w:val="00941AF5"/>
    <w:rsid w:val="009552D0"/>
    <w:rsid w:val="00957458"/>
    <w:rsid w:val="00960E92"/>
    <w:rsid w:val="00964912"/>
    <w:rsid w:val="009652FA"/>
    <w:rsid w:val="009666E1"/>
    <w:rsid w:val="00971E5F"/>
    <w:rsid w:val="00975C25"/>
    <w:rsid w:val="0097657B"/>
    <w:rsid w:val="009804E3"/>
    <w:rsid w:val="00980F8D"/>
    <w:rsid w:val="00982AE2"/>
    <w:rsid w:val="00991256"/>
    <w:rsid w:val="009953D7"/>
    <w:rsid w:val="0099544C"/>
    <w:rsid w:val="009A03E8"/>
    <w:rsid w:val="009A6599"/>
    <w:rsid w:val="009B0BED"/>
    <w:rsid w:val="009B30D9"/>
    <w:rsid w:val="009B4969"/>
    <w:rsid w:val="009B683E"/>
    <w:rsid w:val="009C03D1"/>
    <w:rsid w:val="009C08A0"/>
    <w:rsid w:val="009C2360"/>
    <w:rsid w:val="009C306F"/>
    <w:rsid w:val="009C31DB"/>
    <w:rsid w:val="009C4813"/>
    <w:rsid w:val="009C6103"/>
    <w:rsid w:val="009D0C74"/>
    <w:rsid w:val="009E0DE1"/>
    <w:rsid w:val="009F1F03"/>
    <w:rsid w:val="009F5FBE"/>
    <w:rsid w:val="009F6ADA"/>
    <w:rsid w:val="00A03060"/>
    <w:rsid w:val="00A03262"/>
    <w:rsid w:val="00A070A4"/>
    <w:rsid w:val="00A076D8"/>
    <w:rsid w:val="00A11817"/>
    <w:rsid w:val="00A14BF2"/>
    <w:rsid w:val="00A17498"/>
    <w:rsid w:val="00A250B2"/>
    <w:rsid w:val="00A32266"/>
    <w:rsid w:val="00A344EC"/>
    <w:rsid w:val="00A34DD7"/>
    <w:rsid w:val="00A35069"/>
    <w:rsid w:val="00A35AEE"/>
    <w:rsid w:val="00A35B0D"/>
    <w:rsid w:val="00A36030"/>
    <w:rsid w:val="00A36EBE"/>
    <w:rsid w:val="00A42332"/>
    <w:rsid w:val="00A43F06"/>
    <w:rsid w:val="00A526BA"/>
    <w:rsid w:val="00A53E8A"/>
    <w:rsid w:val="00A55997"/>
    <w:rsid w:val="00A569A6"/>
    <w:rsid w:val="00A7364C"/>
    <w:rsid w:val="00A841F5"/>
    <w:rsid w:val="00A9189C"/>
    <w:rsid w:val="00A94242"/>
    <w:rsid w:val="00A95FDE"/>
    <w:rsid w:val="00AA3357"/>
    <w:rsid w:val="00AA5258"/>
    <w:rsid w:val="00AB3390"/>
    <w:rsid w:val="00AB7514"/>
    <w:rsid w:val="00AB7A1A"/>
    <w:rsid w:val="00AC0C99"/>
    <w:rsid w:val="00AD2B3D"/>
    <w:rsid w:val="00AD2C57"/>
    <w:rsid w:val="00AD56F0"/>
    <w:rsid w:val="00AD7D98"/>
    <w:rsid w:val="00AE4E1A"/>
    <w:rsid w:val="00AE749B"/>
    <w:rsid w:val="00AE79C8"/>
    <w:rsid w:val="00AE7DF1"/>
    <w:rsid w:val="00AF583F"/>
    <w:rsid w:val="00AF7298"/>
    <w:rsid w:val="00B00E8A"/>
    <w:rsid w:val="00B052CF"/>
    <w:rsid w:val="00B10F11"/>
    <w:rsid w:val="00B11F74"/>
    <w:rsid w:val="00B1297F"/>
    <w:rsid w:val="00B14591"/>
    <w:rsid w:val="00B1706A"/>
    <w:rsid w:val="00B21AA7"/>
    <w:rsid w:val="00B238B2"/>
    <w:rsid w:val="00B2761B"/>
    <w:rsid w:val="00B27624"/>
    <w:rsid w:val="00B3312A"/>
    <w:rsid w:val="00B34997"/>
    <w:rsid w:val="00B40A11"/>
    <w:rsid w:val="00B412AB"/>
    <w:rsid w:val="00B41AB0"/>
    <w:rsid w:val="00B42E35"/>
    <w:rsid w:val="00B42E85"/>
    <w:rsid w:val="00B46062"/>
    <w:rsid w:val="00B4696A"/>
    <w:rsid w:val="00B46C23"/>
    <w:rsid w:val="00B47E22"/>
    <w:rsid w:val="00B51A9E"/>
    <w:rsid w:val="00B52D71"/>
    <w:rsid w:val="00B546C3"/>
    <w:rsid w:val="00B57031"/>
    <w:rsid w:val="00B5717A"/>
    <w:rsid w:val="00B66768"/>
    <w:rsid w:val="00B70B1C"/>
    <w:rsid w:val="00B75D93"/>
    <w:rsid w:val="00B76678"/>
    <w:rsid w:val="00B76D32"/>
    <w:rsid w:val="00B8189F"/>
    <w:rsid w:val="00B821C1"/>
    <w:rsid w:val="00B82A1A"/>
    <w:rsid w:val="00B82A49"/>
    <w:rsid w:val="00B85409"/>
    <w:rsid w:val="00B86B8E"/>
    <w:rsid w:val="00B95931"/>
    <w:rsid w:val="00BA1359"/>
    <w:rsid w:val="00BB366E"/>
    <w:rsid w:val="00BC21D7"/>
    <w:rsid w:val="00BC2889"/>
    <w:rsid w:val="00BC6B7C"/>
    <w:rsid w:val="00BD090C"/>
    <w:rsid w:val="00BD4A02"/>
    <w:rsid w:val="00BD4EE7"/>
    <w:rsid w:val="00BD5A7E"/>
    <w:rsid w:val="00BE2B04"/>
    <w:rsid w:val="00BE3132"/>
    <w:rsid w:val="00BE6A63"/>
    <w:rsid w:val="00BE7DE3"/>
    <w:rsid w:val="00BF0D5F"/>
    <w:rsid w:val="00BF1376"/>
    <w:rsid w:val="00BF160B"/>
    <w:rsid w:val="00BF1D92"/>
    <w:rsid w:val="00BF2BDA"/>
    <w:rsid w:val="00C02042"/>
    <w:rsid w:val="00C04951"/>
    <w:rsid w:val="00C0751F"/>
    <w:rsid w:val="00C13B10"/>
    <w:rsid w:val="00C13CCC"/>
    <w:rsid w:val="00C20291"/>
    <w:rsid w:val="00C27072"/>
    <w:rsid w:val="00C27445"/>
    <w:rsid w:val="00C300AD"/>
    <w:rsid w:val="00C344ED"/>
    <w:rsid w:val="00C34D3B"/>
    <w:rsid w:val="00C475EE"/>
    <w:rsid w:val="00C5056A"/>
    <w:rsid w:val="00C54A94"/>
    <w:rsid w:val="00C556CD"/>
    <w:rsid w:val="00C616C9"/>
    <w:rsid w:val="00C63B56"/>
    <w:rsid w:val="00C6659C"/>
    <w:rsid w:val="00C700E5"/>
    <w:rsid w:val="00C717D1"/>
    <w:rsid w:val="00C77639"/>
    <w:rsid w:val="00C80DEC"/>
    <w:rsid w:val="00C814BE"/>
    <w:rsid w:val="00C82C8D"/>
    <w:rsid w:val="00C83831"/>
    <w:rsid w:val="00C946EC"/>
    <w:rsid w:val="00C95497"/>
    <w:rsid w:val="00C9724C"/>
    <w:rsid w:val="00C97AB6"/>
    <w:rsid w:val="00CA16EB"/>
    <w:rsid w:val="00CA2F4A"/>
    <w:rsid w:val="00CA6083"/>
    <w:rsid w:val="00CA67F5"/>
    <w:rsid w:val="00CA74C4"/>
    <w:rsid w:val="00CB16CB"/>
    <w:rsid w:val="00CB1899"/>
    <w:rsid w:val="00CB3B87"/>
    <w:rsid w:val="00CB7BE8"/>
    <w:rsid w:val="00CB7C43"/>
    <w:rsid w:val="00CC1167"/>
    <w:rsid w:val="00CC18D3"/>
    <w:rsid w:val="00CC304B"/>
    <w:rsid w:val="00CC5D9F"/>
    <w:rsid w:val="00CC6EF0"/>
    <w:rsid w:val="00CD1AED"/>
    <w:rsid w:val="00CE3F1F"/>
    <w:rsid w:val="00CE5D08"/>
    <w:rsid w:val="00CE7901"/>
    <w:rsid w:val="00CF0CDE"/>
    <w:rsid w:val="00CF2687"/>
    <w:rsid w:val="00CF2B46"/>
    <w:rsid w:val="00CF743C"/>
    <w:rsid w:val="00D041D7"/>
    <w:rsid w:val="00D07F0B"/>
    <w:rsid w:val="00D11F6E"/>
    <w:rsid w:val="00D123A2"/>
    <w:rsid w:val="00D14BCD"/>
    <w:rsid w:val="00D14D25"/>
    <w:rsid w:val="00D214AB"/>
    <w:rsid w:val="00D21592"/>
    <w:rsid w:val="00D24DDD"/>
    <w:rsid w:val="00D2748C"/>
    <w:rsid w:val="00D27BD4"/>
    <w:rsid w:val="00D31B35"/>
    <w:rsid w:val="00D346A4"/>
    <w:rsid w:val="00D35653"/>
    <w:rsid w:val="00D4062E"/>
    <w:rsid w:val="00D43369"/>
    <w:rsid w:val="00D434DF"/>
    <w:rsid w:val="00D5129C"/>
    <w:rsid w:val="00D52D4D"/>
    <w:rsid w:val="00D530DA"/>
    <w:rsid w:val="00D5489D"/>
    <w:rsid w:val="00D56CF8"/>
    <w:rsid w:val="00D63668"/>
    <w:rsid w:val="00D64712"/>
    <w:rsid w:val="00D70BD6"/>
    <w:rsid w:val="00D727F3"/>
    <w:rsid w:val="00D73F84"/>
    <w:rsid w:val="00D740EB"/>
    <w:rsid w:val="00D7417F"/>
    <w:rsid w:val="00D75F9A"/>
    <w:rsid w:val="00D8629B"/>
    <w:rsid w:val="00D91791"/>
    <w:rsid w:val="00D919C0"/>
    <w:rsid w:val="00D92928"/>
    <w:rsid w:val="00D96246"/>
    <w:rsid w:val="00DB3B83"/>
    <w:rsid w:val="00DC16F3"/>
    <w:rsid w:val="00DC570A"/>
    <w:rsid w:val="00DC636E"/>
    <w:rsid w:val="00DC66B7"/>
    <w:rsid w:val="00DD1272"/>
    <w:rsid w:val="00DD6CD4"/>
    <w:rsid w:val="00DE081C"/>
    <w:rsid w:val="00DE1F00"/>
    <w:rsid w:val="00DE1F4D"/>
    <w:rsid w:val="00DE2830"/>
    <w:rsid w:val="00DE448F"/>
    <w:rsid w:val="00DF186A"/>
    <w:rsid w:val="00DF6F5F"/>
    <w:rsid w:val="00E00190"/>
    <w:rsid w:val="00E00350"/>
    <w:rsid w:val="00E01EF4"/>
    <w:rsid w:val="00E0246F"/>
    <w:rsid w:val="00E02945"/>
    <w:rsid w:val="00E02C5E"/>
    <w:rsid w:val="00E04E3C"/>
    <w:rsid w:val="00E05686"/>
    <w:rsid w:val="00E10CFA"/>
    <w:rsid w:val="00E1492C"/>
    <w:rsid w:val="00E2000F"/>
    <w:rsid w:val="00E2071B"/>
    <w:rsid w:val="00E2155C"/>
    <w:rsid w:val="00E25DF0"/>
    <w:rsid w:val="00E3008F"/>
    <w:rsid w:val="00E3041E"/>
    <w:rsid w:val="00E309E9"/>
    <w:rsid w:val="00E34421"/>
    <w:rsid w:val="00E35747"/>
    <w:rsid w:val="00E35B00"/>
    <w:rsid w:val="00E37EB4"/>
    <w:rsid w:val="00E403D7"/>
    <w:rsid w:val="00E409F8"/>
    <w:rsid w:val="00E4102C"/>
    <w:rsid w:val="00E420E9"/>
    <w:rsid w:val="00E46C63"/>
    <w:rsid w:val="00E53380"/>
    <w:rsid w:val="00E537D6"/>
    <w:rsid w:val="00E54882"/>
    <w:rsid w:val="00E54A34"/>
    <w:rsid w:val="00E55B66"/>
    <w:rsid w:val="00E5784F"/>
    <w:rsid w:val="00E6263B"/>
    <w:rsid w:val="00E66F0C"/>
    <w:rsid w:val="00E71060"/>
    <w:rsid w:val="00E71DA0"/>
    <w:rsid w:val="00E727DD"/>
    <w:rsid w:val="00E72DEC"/>
    <w:rsid w:val="00E73D29"/>
    <w:rsid w:val="00E748A7"/>
    <w:rsid w:val="00E77098"/>
    <w:rsid w:val="00E770EB"/>
    <w:rsid w:val="00E8192A"/>
    <w:rsid w:val="00E833DC"/>
    <w:rsid w:val="00E844E5"/>
    <w:rsid w:val="00E854A2"/>
    <w:rsid w:val="00E85EC4"/>
    <w:rsid w:val="00E85F74"/>
    <w:rsid w:val="00E8655B"/>
    <w:rsid w:val="00EA0C4F"/>
    <w:rsid w:val="00EA28A7"/>
    <w:rsid w:val="00EA3DB6"/>
    <w:rsid w:val="00EA7DB8"/>
    <w:rsid w:val="00EB223F"/>
    <w:rsid w:val="00EB2CCD"/>
    <w:rsid w:val="00EB3427"/>
    <w:rsid w:val="00EB3668"/>
    <w:rsid w:val="00EB55DD"/>
    <w:rsid w:val="00EB6A3F"/>
    <w:rsid w:val="00EC1323"/>
    <w:rsid w:val="00EC2A4C"/>
    <w:rsid w:val="00EC2DAD"/>
    <w:rsid w:val="00ED4996"/>
    <w:rsid w:val="00ED72F3"/>
    <w:rsid w:val="00ED7CF6"/>
    <w:rsid w:val="00EE13B1"/>
    <w:rsid w:val="00EE5085"/>
    <w:rsid w:val="00EE626C"/>
    <w:rsid w:val="00EE69A7"/>
    <w:rsid w:val="00EF0536"/>
    <w:rsid w:val="00EF21E0"/>
    <w:rsid w:val="00EF2B22"/>
    <w:rsid w:val="00F01C90"/>
    <w:rsid w:val="00F03D7E"/>
    <w:rsid w:val="00F03FD0"/>
    <w:rsid w:val="00F24BA3"/>
    <w:rsid w:val="00F251CA"/>
    <w:rsid w:val="00F25F8E"/>
    <w:rsid w:val="00F274C6"/>
    <w:rsid w:val="00F534EC"/>
    <w:rsid w:val="00F64D29"/>
    <w:rsid w:val="00F732AE"/>
    <w:rsid w:val="00F77303"/>
    <w:rsid w:val="00F774E6"/>
    <w:rsid w:val="00F815D8"/>
    <w:rsid w:val="00F84BBB"/>
    <w:rsid w:val="00F87BE9"/>
    <w:rsid w:val="00F939D6"/>
    <w:rsid w:val="00F96AEE"/>
    <w:rsid w:val="00FA21E1"/>
    <w:rsid w:val="00FA7B1E"/>
    <w:rsid w:val="00FB2BFA"/>
    <w:rsid w:val="00FB511C"/>
    <w:rsid w:val="00FB520E"/>
    <w:rsid w:val="00FB625F"/>
    <w:rsid w:val="00FB6747"/>
    <w:rsid w:val="00FC1EE0"/>
    <w:rsid w:val="00FC65AD"/>
    <w:rsid w:val="00FC6D6B"/>
    <w:rsid w:val="00FD4A94"/>
    <w:rsid w:val="00FD4DEB"/>
    <w:rsid w:val="00FD5988"/>
    <w:rsid w:val="00FE62FD"/>
    <w:rsid w:val="00FE637B"/>
    <w:rsid w:val="00FF0224"/>
    <w:rsid w:val="00FF0499"/>
    <w:rsid w:val="00FF17B1"/>
    <w:rsid w:val="00FF202C"/>
    <w:rsid w:val="00FF30F7"/>
    <w:rsid w:val="00FF5655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F0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55997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5997"/>
    <w:rPr>
      <w:color w:val="954F72"/>
      <w:u w:val="single"/>
    </w:rPr>
  </w:style>
  <w:style w:type="paragraph" w:customStyle="1" w:styleId="xl63">
    <w:name w:val="xl63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6">
    <w:name w:val="xl66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5599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1">
    <w:name w:val="xl71"/>
    <w:basedOn w:val="Normalny"/>
    <w:rsid w:val="00A5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2">
    <w:name w:val="xl72"/>
    <w:basedOn w:val="Normalny"/>
    <w:rsid w:val="00A5599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3">
    <w:name w:val="xl73"/>
    <w:basedOn w:val="Normalny"/>
    <w:rsid w:val="00A559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5">
    <w:name w:val="xl7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7">
    <w:name w:val="xl7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9">
    <w:name w:val="xl7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2">
    <w:name w:val="xl8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3">
    <w:name w:val="xl8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559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9">
    <w:name w:val="xl89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2">
    <w:name w:val="xl92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3">
    <w:name w:val="xl93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5">
    <w:name w:val="xl95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6">
    <w:name w:val="xl96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8">
    <w:name w:val="xl98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A559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0">
    <w:name w:val="xl100"/>
    <w:basedOn w:val="Normalny"/>
    <w:rsid w:val="00A559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Bezodstpw">
    <w:name w:val="No Spacing"/>
    <w:uiPriority w:val="1"/>
    <w:qFormat/>
    <w:rsid w:val="006B504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F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C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C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CD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D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AE7DF1"/>
  </w:style>
  <w:style w:type="character" w:styleId="Uwydatnienie">
    <w:name w:val="Emphasis"/>
    <w:basedOn w:val="Domylnaczcionkaakapitu"/>
    <w:uiPriority w:val="20"/>
    <w:qFormat/>
    <w:rsid w:val="00AE7DF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E7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853ACC"/>
    <w:rPr>
      <w:b/>
      <w:bCs/>
    </w:rPr>
  </w:style>
  <w:style w:type="paragraph" w:customStyle="1" w:styleId="Default">
    <w:name w:val="Default"/>
    <w:rsid w:val="007F5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956"/>
  </w:style>
  <w:style w:type="paragraph" w:styleId="Stopka">
    <w:name w:val="footer"/>
    <w:basedOn w:val="Normalny"/>
    <w:link w:val="StopkaZnak"/>
    <w:uiPriority w:val="99"/>
    <w:unhideWhenUsed/>
    <w:rsid w:val="006E2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9264">
                  <w:marLeft w:val="4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943C-A331-4100-8654-BD1A94CE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17</Pages>
  <Words>5386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Zagajski</dc:creator>
  <cp:lastModifiedBy>Anna Barnak</cp:lastModifiedBy>
  <cp:revision>162</cp:revision>
  <cp:lastPrinted>2023-05-29T10:22:00Z</cp:lastPrinted>
  <dcterms:created xsi:type="dcterms:W3CDTF">2022-03-24T08:55:00Z</dcterms:created>
  <dcterms:modified xsi:type="dcterms:W3CDTF">2023-05-29T11:06:00Z</dcterms:modified>
</cp:coreProperties>
</file>